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FD7F2">
      <w:pPr>
        <w:spacing w:line="296" w:lineRule="auto"/>
        <w:rPr>
          <w:rFonts w:ascii="Arial"/>
          <w:sz w:val="21"/>
        </w:rPr>
      </w:pPr>
    </w:p>
    <w:p w14:paraId="710FF697">
      <w:pPr>
        <w:spacing w:line="296" w:lineRule="auto"/>
        <w:rPr>
          <w:rFonts w:ascii="Arial"/>
          <w:sz w:val="21"/>
        </w:rPr>
      </w:pPr>
    </w:p>
    <w:p w14:paraId="087652A8">
      <w:pPr>
        <w:spacing w:before="139" w:line="232" w:lineRule="auto"/>
        <w:ind w:left="2233" w:right="119" w:hanging="2212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东兴经开区（省级开发区）标准化厂房及周边</w:t>
      </w:r>
      <w:r>
        <w:rPr>
          <w:rFonts w:ascii="宋体" w:hAnsi="宋体" w:eastAsia="宋体" w:cs="宋体"/>
          <w:b/>
          <w:bCs/>
          <w:spacing w:val="3"/>
          <w:sz w:val="43"/>
          <w:szCs w:val="43"/>
        </w:rPr>
        <w:t>配套设施项目情况说明</w:t>
      </w:r>
    </w:p>
    <w:p w14:paraId="1D7F1771">
      <w:pPr>
        <w:spacing w:line="300" w:lineRule="auto"/>
        <w:rPr>
          <w:rFonts w:ascii="Arial"/>
          <w:sz w:val="21"/>
        </w:rPr>
      </w:pPr>
    </w:p>
    <w:p w14:paraId="2B0F87CF">
      <w:pPr>
        <w:spacing w:line="301" w:lineRule="auto"/>
        <w:rPr>
          <w:rFonts w:ascii="Arial"/>
          <w:sz w:val="21"/>
        </w:rPr>
      </w:pPr>
    </w:p>
    <w:p w14:paraId="70F93888">
      <w:pPr>
        <w:spacing w:before="101" w:line="227" w:lineRule="auto"/>
        <w:ind w:left="651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一、项目基本情况</w:t>
      </w:r>
    </w:p>
    <w:p w14:paraId="22717179">
      <w:pPr>
        <w:spacing w:before="180" w:line="222" w:lineRule="auto"/>
        <w:ind w:left="637"/>
        <w:outlineLvl w:val="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（一）市县及行业专项规划概况</w:t>
      </w:r>
    </w:p>
    <w:p w14:paraId="132650B7">
      <w:pPr>
        <w:pStyle w:val="2"/>
        <w:spacing w:before="178" w:line="334" w:lineRule="auto"/>
        <w:ind w:firstLine="637"/>
        <w:jc w:val="both"/>
      </w:pPr>
      <w:r>
        <w:rPr>
          <w:spacing w:val="9"/>
        </w:rPr>
        <w:t>《四川省国民经济和社会发展第十四个五年规划和</w:t>
      </w:r>
      <w:r>
        <w:rPr>
          <w:spacing w:val="-48"/>
        </w:rPr>
        <w:t xml:space="preserve"> </w:t>
      </w:r>
      <w:r>
        <w:rPr>
          <w:spacing w:val="9"/>
        </w:rPr>
        <w:t>203</w:t>
      </w:r>
      <w:r>
        <w:rPr>
          <w:spacing w:val="8"/>
        </w:rPr>
        <w:t>5</w:t>
      </w:r>
      <w:r>
        <w:rPr>
          <w:spacing w:val="-56"/>
        </w:rPr>
        <w:t xml:space="preserve"> </w:t>
      </w:r>
      <w:r>
        <w:rPr>
          <w:spacing w:val="8"/>
        </w:rPr>
        <w:t>年</w:t>
      </w:r>
      <w:r>
        <w:rPr>
          <w:spacing w:val="-2"/>
        </w:rPr>
        <w:t>远景目标纲要》指出：成都科学城重点围绕网络安全、空天技</w:t>
      </w:r>
      <w:r>
        <w:rPr>
          <w:spacing w:val="-3"/>
        </w:rPr>
        <w:t>术、</w:t>
      </w:r>
      <w:r>
        <w:rPr>
          <w:spacing w:val="5"/>
        </w:rPr>
        <w:t>先进核能等领域，打造原始创新策源地。新经济活力区重点发展</w:t>
      </w:r>
      <w:r>
        <w:rPr>
          <w:spacing w:val="6"/>
        </w:rPr>
        <w:t>人工智能、</w:t>
      </w:r>
      <w:r>
        <w:rPr>
          <w:spacing w:val="-73"/>
        </w:rPr>
        <w:t xml:space="preserve"> </w:t>
      </w:r>
      <w:r>
        <w:rPr>
          <w:spacing w:val="6"/>
        </w:rPr>
        <w:t>区块链等新经济新产业，建设国家自主创新示范区。</w:t>
      </w:r>
      <w:r>
        <w:rPr>
          <w:spacing w:val="17"/>
        </w:rPr>
        <w:t>生命科学创新区重点突破生物技术药物、高性能医疗器械等领</w:t>
      </w:r>
      <w:r>
        <w:rPr>
          <w:spacing w:val="5"/>
        </w:rPr>
        <w:t>域，建设重大新药创制国家科技重大专项成果转移转化试点示范基地。未来科技城夯实智能制造、航空航天等产业发展基础，打</w:t>
      </w:r>
      <w:r>
        <w:rPr>
          <w:spacing w:val="17"/>
        </w:rPr>
        <w:t>造中国西部智造示范区。新一代信息技术创新基地聚焦集成电</w:t>
      </w:r>
      <w:r>
        <w:rPr>
          <w:spacing w:val="5"/>
        </w:rPr>
        <w:t>路、网络通信等前沿技术，打造全球电子信息产业高端要素汇集</w:t>
      </w:r>
      <w:r>
        <w:t>区。</w:t>
      </w:r>
    </w:p>
    <w:p w14:paraId="379511D2">
      <w:pPr>
        <w:pStyle w:val="2"/>
        <w:spacing w:before="6" w:line="332" w:lineRule="auto"/>
        <w:ind w:left="6" w:right="95" w:firstLine="631"/>
        <w:jc w:val="both"/>
      </w:pPr>
      <w:r>
        <w:rPr>
          <w:spacing w:val="9"/>
        </w:rPr>
        <w:t>《四川省“十四五”数字经济规划》指出：到</w:t>
      </w:r>
      <w:r>
        <w:rPr>
          <w:spacing w:val="-49"/>
        </w:rPr>
        <w:t xml:space="preserve"> </w:t>
      </w:r>
      <w:r>
        <w:rPr>
          <w:spacing w:val="9"/>
        </w:rPr>
        <w:t>202</w:t>
      </w:r>
      <w:r>
        <w:rPr>
          <w:spacing w:val="8"/>
        </w:rPr>
        <w:t>5</w:t>
      </w:r>
      <w:r>
        <w:rPr>
          <w:spacing w:val="-55"/>
        </w:rPr>
        <w:t xml:space="preserve"> </w:t>
      </w:r>
      <w:r>
        <w:rPr>
          <w:spacing w:val="8"/>
        </w:rPr>
        <w:t>年，全</w:t>
      </w:r>
      <w:r>
        <w:rPr>
          <w:spacing w:val="1"/>
        </w:rPr>
        <w:t>省数字经济总量超</w:t>
      </w:r>
      <w:r>
        <w:rPr>
          <w:spacing w:val="-36"/>
        </w:rPr>
        <w:t xml:space="preserve"> </w:t>
      </w:r>
      <w:r>
        <w:rPr>
          <w:spacing w:val="1"/>
        </w:rPr>
        <w:t>3</w:t>
      </w:r>
      <w:r>
        <w:rPr>
          <w:spacing w:val="-44"/>
        </w:rPr>
        <w:t xml:space="preserve"> </w:t>
      </w:r>
      <w:r>
        <w:rPr>
          <w:spacing w:val="1"/>
        </w:rPr>
        <w:t>万亿、占</w:t>
      </w:r>
      <w:r>
        <w:rPr>
          <w:spacing w:val="-60"/>
        </w:rPr>
        <w:t xml:space="preserve"> </w:t>
      </w:r>
      <w:r>
        <w:t>GDP</w:t>
      </w:r>
      <w:r>
        <w:rPr>
          <w:spacing w:val="1"/>
        </w:rPr>
        <w:t xml:space="preserve"> 比重达到</w:t>
      </w:r>
      <w:r>
        <w:rPr>
          <w:spacing w:val="-49"/>
        </w:rPr>
        <w:t xml:space="preserve"> </w:t>
      </w:r>
      <w:r>
        <w:rPr>
          <w:spacing w:val="1"/>
        </w:rPr>
        <w:t>43%，建成具有全国</w:t>
      </w:r>
      <w:r>
        <w:rPr>
          <w:spacing w:val="5"/>
        </w:rPr>
        <w:t>影响力的数字经济科技创新中心和数字化转型赋能引领区，高水平建成国家数字经济创新发展试验区，初步建成全国数字经济发展新高地。</w:t>
      </w:r>
    </w:p>
    <w:p w14:paraId="42C2DE3C">
      <w:pPr>
        <w:pStyle w:val="2"/>
        <w:spacing w:before="6" w:line="332" w:lineRule="auto"/>
        <w:ind w:left="14" w:right="95" w:firstLine="622"/>
        <w:jc w:val="both"/>
      </w:pPr>
      <w:r>
        <w:rPr>
          <w:spacing w:val="9"/>
        </w:rPr>
        <w:t>《内江市国民经济和社会发展第十四个五年规划和</w:t>
      </w:r>
      <w:r>
        <w:rPr>
          <w:spacing w:val="-48"/>
        </w:rPr>
        <w:t xml:space="preserve"> </w:t>
      </w:r>
      <w:r>
        <w:rPr>
          <w:spacing w:val="9"/>
        </w:rPr>
        <w:t>203</w:t>
      </w:r>
      <w:r>
        <w:rPr>
          <w:spacing w:val="8"/>
        </w:rPr>
        <w:t>5</w:t>
      </w:r>
      <w:r>
        <w:rPr>
          <w:spacing w:val="-56"/>
        </w:rPr>
        <w:t xml:space="preserve"> </w:t>
      </w:r>
      <w:r>
        <w:rPr>
          <w:spacing w:val="8"/>
        </w:rPr>
        <w:t>年</w:t>
      </w:r>
      <w:r>
        <w:rPr>
          <w:spacing w:val="5"/>
        </w:rPr>
        <w:t>远景目标纲要》指出：加快推动政府职能从研发管理向创新服务转变，构建政产学研用结合的技术创新体系，完善政产学</w:t>
      </w:r>
      <w:r>
        <w:rPr>
          <w:spacing w:val="4"/>
        </w:rPr>
        <w:t>研用协</w:t>
      </w:r>
    </w:p>
    <w:p w14:paraId="69C580AB">
      <w:pPr>
        <w:spacing w:line="332" w:lineRule="auto"/>
        <w:sectPr>
          <w:footerReference r:id="rId5" w:type="default"/>
          <w:pgSz w:w="11906" w:h="16839"/>
          <w:pgMar w:top="1431" w:right="1323" w:bottom="1315" w:left="1651" w:header="0" w:footer="948" w:gutter="0"/>
          <w:cols w:space="720" w:num="1"/>
        </w:sectPr>
      </w:pPr>
    </w:p>
    <w:p w14:paraId="11E01EFE">
      <w:pPr>
        <w:spacing w:line="246" w:lineRule="auto"/>
        <w:rPr>
          <w:rFonts w:ascii="Arial"/>
          <w:sz w:val="21"/>
        </w:rPr>
      </w:pPr>
    </w:p>
    <w:p w14:paraId="3C9004B1">
      <w:pPr>
        <w:spacing w:line="246" w:lineRule="auto"/>
        <w:rPr>
          <w:rFonts w:ascii="Arial"/>
          <w:sz w:val="21"/>
        </w:rPr>
      </w:pPr>
    </w:p>
    <w:p w14:paraId="35C7A235">
      <w:pPr>
        <w:spacing w:line="246" w:lineRule="auto"/>
        <w:rPr>
          <w:rFonts w:ascii="Arial"/>
          <w:sz w:val="21"/>
        </w:rPr>
      </w:pPr>
    </w:p>
    <w:p w14:paraId="1681C63C">
      <w:pPr>
        <w:pStyle w:val="2"/>
        <w:spacing w:before="101" w:line="333" w:lineRule="auto"/>
        <w:ind w:firstLine="39"/>
        <w:jc w:val="both"/>
      </w:pPr>
      <w:r>
        <w:rPr>
          <w:spacing w:val="4"/>
        </w:rPr>
        <w:t>同创新机制，形成政府引导、企业主体、高校和科研院所协作的</w:t>
      </w:r>
      <w:r>
        <w:rPr>
          <w:spacing w:val="5"/>
        </w:rPr>
        <w:t>政产学研用协同创新模式。以重点企业为主体，新建一批市级以</w:t>
      </w:r>
      <w:r>
        <w:rPr>
          <w:spacing w:val="-2"/>
        </w:rPr>
        <w:t>上重点实验室、工程实验室、工程技术研究中心、企业技术中心、</w:t>
      </w:r>
      <w:r>
        <w:rPr>
          <w:spacing w:val="5"/>
        </w:rPr>
        <w:t>院士（专家）工作站等创新平台，全面提升企业原始创新、集成</w:t>
      </w:r>
      <w:r>
        <w:rPr>
          <w:spacing w:val="17"/>
        </w:rPr>
        <w:t>创新和引进消化吸收再创新能力。全面参与中国西部科学城建</w:t>
      </w:r>
      <w:r>
        <w:rPr>
          <w:spacing w:val="-8"/>
        </w:rPr>
        <w:t>设，发挥好“泸内荣永”国家高新区产业联盟作用。成立成渝（</w:t>
      </w:r>
      <w:r>
        <w:rPr>
          <w:spacing w:val="-76"/>
        </w:rPr>
        <w:t xml:space="preserve"> </w:t>
      </w:r>
      <w:r>
        <w:rPr>
          <w:spacing w:val="-8"/>
        </w:rPr>
        <w:t>内</w:t>
      </w:r>
      <w:r>
        <w:rPr>
          <w:spacing w:val="5"/>
        </w:rPr>
        <w:t>江）智能智造产业技术研究中心，与国内重点高校共建产学研协</w:t>
      </w:r>
      <w:r>
        <w:rPr>
          <w:spacing w:val="7"/>
        </w:rPr>
        <w:t>同创新中心。</w:t>
      </w:r>
    </w:p>
    <w:p w14:paraId="619BC356">
      <w:pPr>
        <w:spacing w:before="4" w:line="221" w:lineRule="auto"/>
        <w:ind w:left="640"/>
        <w:outlineLvl w:val="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6"/>
          <w:sz w:val="31"/>
          <w:szCs w:val="31"/>
        </w:rPr>
        <w:t>（二）项目情况</w:t>
      </w:r>
    </w:p>
    <w:p w14:paraId="375443B3">
      <w:pPr>
        <w:pStyle w:val="2"/>
        <w:spacing w:before="189" w:line="220" w:lineRule="auto"/>
        <w:ind w:left="668"/>
        <w:outlineLvl w:val="2"/>
      </w:pPr>
      <w:r>
        <w:rPr>
          <w:b/>
          <w:bCs/>
          <w:spacing w:val="1"/>
        </w:rPr>
        <w:t>1．参与主体</w:t>
      </w:r>
    </w:p>
    <w:p w14:paraId="034BD839">
      <w:pPr>
        <w:pStyle w:val="2"/>
        <w:spacing w:before="190" w:line="219" w:lineRule="auto"/>
        <w:ind w:left="661"/>
      </w:pPr>
      <w:r>
        <w:rPr>
          <w:spacing w:val="4"/>
        </w:rPr>
        <w:t>主管部门：</w:t>
      </w:r>
      <w:r>
        <w:rPr>
          <w:spacing w:val="-87"/>
        </w:rPr>
        <w:t xml:space="preserve"> </w:t>
      </w:r>
      <w:r>
        <w:rPr>
          <w:spacing w:val="4"/>
        </w:rPr>
        <w:t>内江市东兴区发展和改革局。</w:t>
      </w:r>
    </w:p>
    <w:p w14:paraId="7A1E6583">
      <w:pPr>
        <w:pStyle w:val="2"/>
        <w:spacing w:before="191" w:line="219" w:lineRule="auto"/>
        <w:ind w:left="651"/>
      </w:pPr>
      <w:r>
        <w:rPr>
          <w:spacing w:val="8"/>
        </w:rPr>
        <w:t>项目业主：四川东臻建筑工程有限公司。</w:t>
      </w:r>
    </w:p>
    <w:p w14:paraId="565FAA10">
      <w:pPr>
        <w:pStyle w:val="2"/>
        <w:spacing w:before="194" w:line="221" w:lineRule="auto"/>
        <w:ind w:left="660"/>
        <w:outlineLvl w:val="2"/>
      </w:pPr>
      <w:r>
        <w:rPr>
          <w:b/>
          <w:bCs/>
          <w:spacing w:val="2"/>
        </w:rPr>
        <w:t>2．项目概况</w:t>
      </w:r>
    </w:p>
    <w:p w14:paraId="23FA0AE0">
      <w:pPr>
        <w:pStyle w:val="2"/>
        <w:spacing w:before="189" w:line="333" w:lineRule="auto"/>
        <w:ind w:left="14" w:right="97" w:firstLine="633"/>
        <w:jc w:val="both"/>
      </w:pPr>
      <w:r>
        <w:rPr>
          <w:spacing w:val="3"/>
        </w:rPr>
        <w:t>本项目</w:t>
      </w:r>
      <w:r>
        <w:rPr>
          <w:spacing w:val="-88"/>
        </w:rPr>
        <w:t xml:space="preserve"> </w:t>
      </w:r>
      <w:r>
        <w:rPr>
          <w:spacing w:val="3"/>
        </w:rPr>
        <w:t>占地约</w:t>
      </w:r>
      <w:r>
        <w:rPr>
          <w:spacing w:val="-41"/>
        </w:rPr>
        <w:t xml:space="preserve"> </w:t>
      </w:r>
      <w:r>
        <w:rPr>
          <w:spacing w:val="3"/>
        </w:rPr>
        <w:t>133</w:t>
      </w:r>
      <w:r>
        <w:rPr>
          <w:spacing w:val="-58"/>
        </w:rPr>
        <w:t xml:space="preserve"> </w:t>
      </w:r>
      <w:r>
        <w:rPr>
          <w:spacing w:val="3"/>
        </w:rPr>
        <w:t>亩，建设标准化厂房约</w:t>
      </w:r>
      <w:r>
        <w:rPr>
          <w:spacing w:val="-38"/>
        </w:rPr>
        <w:t xml:space="preserve"> </w:t>
      </w:r>
      <w:r>
        <w:rPr>
          <w:spacing w:val="3"/>
        </w:rPr>
        <w:t>13.9</w:t>
      </w:r>
      <w:r>
        <w:rPr>
          <w:spacing w:val="-42"/>
        </w:rPr>
        <w:t xml:space="preserve"> </w:t>
      </w:r>
      <w:r>
        <w:rPr>
          <w:spacing w:val="3"/>
        </w:rPr>
        <w:t>万平方米，</w:t>
      </w:r>
      <w:r>
        <w:rPr>
          <w:spacing w:val="7"/>
        </w:rPr>
        <w:t>配套建设园区道路约</w:t>
      </w:r>
      <w:r>
        <w:rPr>
          <w:spacing w:val="-22"/>
        </w:rPr>
        <w:t xml:space="preserve"> </w:t>
      </w:r>
      <w:r>
        <w:rPr>
          <w:spacing w:val="7"/>
        </w:rPr>
        <w:t>0.75公里，</w:t>
      </w:r>
      <w:r>
        <w:rPr>
          <w:spacing w:val="-90"/>
        </w:rPr>
        <w:t xml:space="preserve"> </w:t>
      </w:r>
      <w:r>
        <w:rPr>
          <w:spacing w:val="7"/>
        </w:rPr>
        <w:t>以及配套室外管网约</w:t>
      </w:r>
      <w:r>
        <w:rPr>
          <w:spacing w:val="-45"/>
        </w:rPr>
        <w:t xml:space="preserve"> </w:t>
      </w:r>
      <w:r>
        <w:rPr>
          <w:spacing w:val="7"/>
        </w:rPr>
        <w:t>6</w:t>
      </w:r>
      <w:r>
        <w:rPr>
          <w:spacing w:val="-61"/>
        </w:rPr>
        <w:t xml:space="preserve"> </w:t>
      </w:r>
      <w:r>
        <w:rPr>
          <w:spacing w:val="7"/>
        </w:rPr>
        <w:t>公里等</w:t>
      </w:r>
      <w:r>
        <w:rPr>
          <w:spacing w:val="-1"/>
        </w:rPr>
        <w:t>工程。</w:t>
      </w:r>
    </w:p>
    <w:p w14:paraId="1BA18E2E">
      <w:pPr>
        <w:spacing w:before="1" w:line="226" w:lineRule="auto"/>
        <w:ind w:left="653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二、经济社会效益分析</w:t>
      </w:r>
    </w:p>
    <w:p w14:paraId="7EFF251E">
      <w:pPr>
        <w:pStyle w:val="2"/>
        <w:spacing w:before="180" w:line="221" w:lineRule="auto"/>
        <w:ind w:left="668"/>
        <w:outlineLvl w:val="1"/>
      </w:pPr>
      <w:r>
        <w:rPr>
          <w:b/>
          <w:bCs/>
          <w:spacing w:val="2"/>
        </w:rPr>
        <w:t>1.经济效益分析</w:t>
      </w:r>
    </w:p>
    <w:p w14:paraId="39A4E728">
      <w:pPr>
        <w:pStyle w:val="2"/>
        <w:spacing w:before="190" w:line="333" w:lineRule="auto"/>
        <w:ind w:left="24" w:right="95" w:firstLine="623"/>
        <w:jc w:val="both"/>
      </w:pPr>
      <w:r>
        <w:rPr>
          <w:spacing w:val="5"/>
        </w:rPr>
        <w:t>本项目属于标准厂房建设项目，项目本身具有直接的财务效</w:t>
      </w:r>
      <w:r>
        <w:rPr>
          <w:spacing w:val="4"/>
        </w:rPr>
        <w:t>益。同时，项目建成后，将吸引更多的人和企业选择该区域作为</w:t>
      </w:r>
      <w:r>
        <w:rPr>
          <w:spacing w:val="5"/>
        </w:rPr>
        <w:t>生活、工作的地点，也必将带动周边经济的发</w:t>
      </w:r>
      <w:r>
        <w:rPr>
          <w:spacing w:val="4"/>
        </w:rPr>
        <w:t>展，提高周边居民</w:t>
      </w:r>
      <w:r>
        <w:rPr>
          <w:spacing w:val="5"/>
        </w:rPr>
        <w:t>的收入水平和来源。</w:t>
      </w:r>
    </w:p>
    <w:p w14:paraId="7AC063EB">
      <w:pPr>
        <w:pStyle w:val="2"/>
        <w:spacing w:before="4" w:line="222" w:lineRule="auto"/>
        <w:ind w:left="660"/>
        <w:outlineLvl w:val="1"/>
      </w:pPr>
      <w:r>
        <w:rPr>
          <w:b/>
          <w:bCs/>
          <w:spacing w:val="3"/>
        </w:rPr>
        <w:t>2.社会效益分析</w:t>
      </w:r>
    </w:p>
    <w:p w14:paraId="58CD2CC2">
      <w:pPr>
        <w:spacing w:line="222" w:lineRule="auto"/>
        <w:sectPr>
          <w:footerReference r:id="rId6" w:type="default"/>
          <w:pgSz w:w="11906" w:h="16839"/>
          <w:pgMar w:top="1431" w:right="1323" w:bottom="1315" w:left="1649" w:header="0" w:footer="948" w:gutter="0"/>
          <w:cols w:space="720" w:num="1"/>
        </w:sectPr>
      </w:pPr>
    </w:p>
    <w:p w14:paraId="2794EA2E">
      <w:pPr>
        <w:spacing w:line="246" w:lineRule="auto"/>
        <w:rPr>
          <w:rFonts w:ascii="Arial"/>
          <w:sz w:val="21"/>
        </w:rPr>
      </w:pPr>
    </w:p>
    <w:p w14:paraId="4B814618">
      <w:pPr>
        <w:spacing w:line="246" w:lineRule="auto"/>
        <w:rPr>
          <w:rFonts w:ascii="Arial"/>
          <w:sz w:val="21"/>
        </w:rPr>
      </w:pPr>
    </w:p>
    <w:p w14:paraId="5392246F">
      <w:pPr>
        <w:spacing w:line="246" w:lineRule="auto"/>
        <w:rPr>
          <w:rFonts w:ascii="Arial"/>
          <w:sz w:val="21"/>
        </w:rPr>
      </w:pPr>
    </w:p>
    <w:p w14:paraId="1F4DDE61">
      <w:pPr>
        <w:pStyle w:val="2"/>
        <w:spacing w:before="101" w:line="218" w:lineRule="auto"/>
        <w:ind w:left="663"/>
      </w:pPr>
      <w:r>
        <w:rPr>
          <w:spacing w:val="8"/>
        </w:rPr>
        <w:t>1、不同利益群体对项目建设的态度及参与程度</w:t>
      </w:r>
    </w:p>
    <w:p w14:paraId="466B87D2">
      <w:pPr>
        <w:pStyle w:val="2"/>
        <w:spacing w:before="192" w:line="333" w:lineRule="auto"/>
        <w:ind w:left="10" w:right="95" w:firstLine="636"/>
      </w:pPr>
      <w:r>
        <w:rPr>
          <w:spacing w:val="11"/>
        </w:rPr>
        <w:t>项</w:t>
      </w:r>
      <w:r>
        <w:rPr>
          <w:spacing w:val="-61"/>
        </w:rPr>
        <w:t xml:space="preserve"> </w:t>
      </w:r>
      <w:r>
        <w:rPr>
          <w:spacing w:val="11"/>
        </w:rPr>
        <w:t>目的建设过程中将会非常注重项目</w:t>
      </w:r>
      <w:r>
        <w:rPr>
          <w:spacing w:val="-89"/>
        </w:rPr>
        <w:t xml:space="preserve"> </w:t>
      </w:r>
      <w:r>
        <w:rPr>
          <w:spacing w:val="11"/>
        </w:rPr>
        <w:t>区域的生态环境保护</w:t>
      </w:r>
      <w:r>
        <w:rPr>
          <w:spacing w:val="5"/>
        </w:rPr>
        <w:t>和安全施工，确保项目建设的环保性和安全性。项目的建设将会</w:t>
      </w:r>
      <w:r>
        <w:rPr>
          <w:spacing w:val="10"/>
        </w:rPr>
        <w:t>带动区域 经济的发展，产生一定数量的就业岗位，为周边群众</w:t>
      </w:r>
      <w:r>
        <w:rPr>
          <w:spacing w:val="8"/>
        </w:rPr>
        <w:t>带来收入。因此 项目区域的群众对本项目总体持支持态度。</w:t>
      </w:r>
    </w:p>
    <w:p w14:paraId="3646E55F">
      <w:pPr>
        <w:pStyle w:val="2"/>
        <w:spacing w:before="3" w:line="218" w:lineRule="auto"/>
        <w:ind w:left="655"/>
      </w:pPr>
      <w:r>
        <w:rPr>
          <w:spacing w:val="8"/>
        </w:rPr>
        <w:t>2、各级组织对项目建设的态度及支持程度</w:t>
      </w:r>
    </w:p>
    <w:p w14:paraId="60BDDD24">
      <w:pPr>
        <w:pStyle w:val="2"/>
        <w:spacing w:before="194" w:line="333" w:lineRule="auto"/>
        <w:ind w:left="2" w:right="95" w:firstLine="639"/>
      </w:pPr>
      <w:r>
        <w:rPr>
          <w:spacing w:val="17"/>
        </w:rPr>
        <w:t>各级组织对该项目的态度和支持程度将对项目的顺利进行</w:t>
      </w:r>
      <w:r>
        <w:rPr>
          <w:spacing w:val="11"/>
        </w:rPr>
        <w:t>产生 重要影响，需要确保各方的协调合作，共同</w:t>
      </w:r>
      <w:r>
        <w:rPr>
          <w:spacing w:val="10"/>
        </w:rPr>
        <w:t>推进项目的建</w:t>
      </w:r>
      <w:r>
        <w:rPr>
          <w:spacing w:val="11"/>
        </w:rPr>
        <w:t>设。经前期 调查，本项目的建设实施将得到当地</w:t>
      </w:r>
      <w:r>
        <w:rPr>
          <w:spacing w:val="10"/>
        </w:rPr>
        <w:t>基层政府和各</w:t>
      </w:r>
      <w:r>
        <w:rPr>
          <w:spacing w:val="7"/>
        </w:rPr>
        <w:t>级部门的大力支持 和积极配合。</w:t>
      </w:r>
    </w:p>
    <w:p w14:paraId="253FAEDB">
      <w:pPr>
        <w:pStyle w:val="2"/>
        <w:spacing w:before="2" w:line="219" w:lineRule="auto"/>
        <w:ind w:left="668"/>
      </w:pPr>
      <w:r>
        <w:rPr>
          <w:spacing w:val="7"/>
        </w:rPr>
        <w:t>3、综合建设条件与本项目的互适性分析</w:t>
      </w:r>
    </w:p>
    <w:p w14:paraId="6855D541">
      <w:pPr>
        <w:pStyle w:val="2"/>
        <w:spacing w:before="191" w:line="333" w:lineRule="auto"/>
        <w:ind w:left="7" w:firstLine="643"/>
      </w:pPr>
      <w:r>
        <w:rPr>
          <w:spacing w:val="4"/>
        </w:rPr>
        <w:t>近年来，在内江市委、市政府的正确领导下，内江市经济社</w:t>
      </w:r>
      <w:r>
        <w:rPr>
          <w:spacing w:val="-3"/>
        </w:rPr>
        <w:t>会发展日新月异，基础设施不断完善。无论是交通、电力、供水、</w:t>
      </w:r>
      <w:r>
        <w:rPr>
          <w:spacing w:val="8"/>
        </w:rPr>
        <w:t>通信等基础设施条件，还是配套资金、施工技术等都逐渐完善，为本项目的实施提供了良好的物质支持和基础保障。</w:t>
      </w:r>
    </w:p>
    <w:p w14:paraId="587952CF">
      <w:pPr>
        <w:pStyle w:val="2"/>
        <w:spacing w:before="6" w:line="333" w:lineRule="auto"/>
        <w:ind w:right="95" w:firstLine="647"/>
        <w:jc w:val="both"/>
      </w:pPr>
      <w:r>
        <w:rPr>
          <w:spacing w:val="5"/>
        </w:rPr>
        <w:t>项目的建设得到了社会各阶层的广泛关注与支持</w:t>
      </w:r>
      <w:r>
        <w:rPr>
          <w:spacing w:val="4"/>
        </w:rPr>
        <w:t>，本项目的</w:t>
      </w:r>
      <w:r>
        <w:rPr>
          <w:spacing w:val="5"/>
        </w:rPr>
        <w:t>建设具有显著的社会效益，社会互适性良好。同时，本项目的建</w:t>
      </w:r>
      <w:r>
        <w:rPr>
          <w:spacing w:val="11"/>
        </w:rPr>
        <w:t>设也存在着施工、环保等方面的社会风险，但通过防范措施 这</w:t>
      </w:r>
      <w:r>
        <w:rPr>
          <w:spacing w:val="8"/>
        </w:rPr>
        <w:t>些风险都能得到控制，项目可以实施。</w:t>
      </w:r>
    </w:p>
    <w:p w14:paraId="1BCA17EB">
      <w:pPr>
        <w:spacing w:before="1" w:line="226" w:lineRule="auto"/>
        <w:ind w:left="649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三、项目投资估算及资金筹措方案</w:t>
      </w:r>
    </w:p>
    <w:p w14:paraId="11A33094">
      <w:pPr>
        <w:spacing w:before="181" w:line="219" w:lineRule="auto"/>
        <w:ind w:left="635"/>
        <w:outlineLvl w:val="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5"/>
          <w:sz w:val="31"/>
          <w:szCs w:val="31"/>
        </w:rPr>
        <w:t>（一）</w:t>
      </w:r>
      <w:r>
        <w:rPr>
          <w:rFonts w:ascii="KaiTi_GB2312" w:hAnsi="KaiTi_GB2312" w:eastAsia="KaiTi_GB2312" w:cs="KaiTi_GB2312"/>
          <w:spacing w:val="-66"/>
          <w:sz w:val="31"/>
          <w:szCs w:val="31"/>
        </w:rPr>
        <w:t xml:space="preserve"> </w:t>
      </w:r>
      <w:r>
        <w:rPr>
          <w:rFonts w:ascii="KaiTi_GB2312" w:hAnsi="KaiTi_GB2312" w:eastAsia="KaiTi_GB2312" w:cs="KaiTi_GB2312"/>
          <w:b/>
          <w:bCs/>
          <w:spacing w:val="5"/>
          <w:sz w:val="31"/>
          <w:szCs w:val="31"/>
        </w:rPr>
        <w:t>投资估算</w:t>
      </w:r>
    </w:p>
    <w:p w14:paraId="61BAF07E">
      <w:pPr>
        <w:pStyle w:val="2"/>
        <w:spacing w:before="194" w:line="332" w:lineRule="auto"/>
        <w:ind w:left="6" w:right="95" w:firstLine="636"/>
      </w:pPr>
      <w:r>
        <w:rPr>
          <w:spacing w:val="6"/>
        </w:rPr>
        <w:t>本项目建设动态投资总额为</w:t>
      </w:r>
      <w:r>
        <w:rPr>
          <w:spacing w:val="-48"/>
        </w:rPr>
        <w:t xml:space="preserve"> </w:t>
      </w:r>
      <w:r>
        <w:rPr>
          <w:spacing w:val="6"/>
        </w:rPr>
        <w:t>61000.00 万元，其中，</w:t>
      </w:r>
      <w:r>
        <w:rPr>
          <w:spacing w:val="5"/>
        </w:rPr>
        <w:t>建安工</w:t>
      </w:r>
      <w:r>
        <w:rPr>
          <w:spacing w:val="9"/>
        </w:rPr>
        <w:t>程费</w:t>
      </w:r>
      <w:r>
        <w:rPr>
          <w:spacing w:val="-19"/>
        </w:rPr>
        <w:t xml:space="preserve"> </w:t>
      </w:r>
      <w:r>
        <w:rPr>
          <w:spacing w:val="9"/>
        </w:rPr>
        <w:t>51260.50</w:t>
      </w:r>
      <w:r>
        <w:rPr>
          <w:spacing w:val="-33"/>
        </w:rPr>
        <w:t xml:space="preserve"> </w:t>
      </w:r>
      <w:r>
        <w:rPr>
          <w:spacing w:val="9"/>
        </w:rPr>
        <w:t>万元，</w:t>
      </w:r>
      <w:r>
        <w:rPr>
          <w:spacing w:val="-68"/>
        </w:rPr>
        <w:t xml:space="preserve"> </w:t>
      </w:r>
      <w:r>
        <w:rPr>
          <w:spacing w:val="9"/>
        </w:rPr>
        <w:t>占总投资的</w:t>
      </w:r>
      <w:r>
        <w:rPr>
          <w:spacing w:val="-31"/>
        </w:rPr>
        <w:t xml:space="preserve"> </w:t>
      </w:r>
      <w:r>
        <w:rPr>
          <w:spacing w:val="9"/>
        </w:rPr>
        <w:t>84.03%，工程建设其他费用</w:t>
      </w:r>
    </w:p>
    <w:p w14:paraId="04822412">
      <w:pPr>
        <w:spacing w:line="332" w:lineRule="auto"/>
        <w:sectPr>
          <w:footerReference r:id="rId7" w:type="default"/>
          <w:pgSz w:w="11906" w:h="16839"/>
          <w:pgMar w:top="1431" w:right="1323" w:bottom="1315" w:left="1653" w:header="0" w:footer="950" w:gutter="0"/>
          <w:cols w:space="720" w:num="1"/>
        </w:sectPr>
      </w:pPr>
    </w:p>
    <w:p w14:paraId="40B40CAD">
      <w:pPr>
        <w:spacing w:line="246" w:lineRule="auto"/>
        <w:rPr>
          <w:rFonts w:ascii="Arial"/>
          <w:sz w:val="21"/>
        </w:rPr>
      </w:pPr>
    </w:p>
    <w:p w14:paraId="50AD5111">
      <w:pPr>
        <w:spacing w:line="247" w:lineRule="auto"/>
        <w:rPr>
          <w:rFonts w:ascii="Arial"/>
          <w:sz w:val="21"/>
        </w:rPr>
      </w:pPr>
    </w:p>
    <w:p w14:paraId="26DD98AB">
      <w:pPr>
        <w:spacing w:line="247" w:lineRule="auto"/>
        <w:rPr>
          <w:rFonts w:ascii="Arial"/>
          <w:sz w:val="21"/>
        </w:rPr>
      </w:pPr>
    </w:p>
    <w:p w14:paraId="66322CC7">
      <w:pPr>
        <w:pStyle w:val="2"/>
        <w:spacing w:before="101" w:line="332" w:lineRule="auto"/>
        <w:ind w:left="136" w:right="108"/>
        <w:jc w:val="both"/>
      </w:pPr>
      <w:r>
        <w:rPr>
          <w:spacing w:val="2"/>
        </w:rPr>
        <w:t>4459.56</w:t>
      </w:r>
      <w:r>
        <w:rPr>
          <w:spacing w:val="-27"/>
        </w:rPr>
        <w:t xml:space="preserve"> </w:t>
      </w:r>
      <w:r>
        <w:rPr>
          <w:spacing w:val="2"/>
        </w:rPr>
        <w:t>万元，</w:t>
      </w:r>
      <w:r>
        <w:rPr>
          <w:spacing w:val="-83"/>
        </w:rPr>
        <w:t xml:space="preserve"> </w:t>
      </w:r>
      <w:r>
        <w:rPr>
          <w:spacing w:val="2"/>
        </w:rPr>
        <w:t>占总投资的</w:t>
      </w:r>
      <w:r>
        <w:rPr>
          <w:spacing w:val="-45"/>
        </w:rPr>
        <w:t xml:space="preserve"> </w:t>
      </w:r>
      <w:r>
        <w:rPr>
          <w:spacing w:val="2"/>
        </w:rPr>
        <w:t>7.31%，基本预备费</w:t>
      </w:r>
      <w:r>
        <w:rPr>
          <w:spacing w:val="-46"/>
        </w:rPr>
        <w:t xml:space="preserve"> </w:t>
      </w:r>
      <w:r>
        <w:rPr>
          <w:spacing w:val="2"/>
        </w:rPr>
        <w:t>2789.28</w:t>
      </w:r>
      <w:r>
        <w:rPr>
          <w:spacing w:val="-42"/>
        </w:rPr>
        <w:t xml:space="preserve"> </w:t>
      </w:r>
      <w:r>
        <w:rPr>
          <w:spacing w:val="2"/>
        </w:rPr>
        <w:t>万元，</w:t>
      </w:r>
      <w:r>
        <w:rPr>
          <w:spacing w:val="11"/>
        </w:rPr>
        <w:t>占总投资的</w:t>
      </w:r>
      <w:r>
        <w:rPr>
          <w:spacing w:val="-8"/>
        </w:rPr>
        <w:t xml:space="preserve"> </w:t>
      </w:r>
      <w:r>
        <w:rPr>
          <w:spacing w:val="11"/>
        </w:rPr>
        <w:t>4.57%</w:t>
      </w:r>
      <w:r>
        <w:rPr>
          <w:spacing w:val="-93"/>
        </w:rPr>
        <w:t xml:space="preserve"> </w:t>
      </w:r>
      <w:r>
        <w:rPr>
          <w:spacing w:val="11"/>
        </w:rPr>
        <w:t>。建设期利息</w:t>
      </w:r>
      <w:r>
        <w:rPr>
          <w:spacing w:val="-24"/>
        </w:rPr>
        <w:t xml:space="preserve"> </w:t>
      </w:r>
      <w:r>
        <w:rPr>
          <w:spacing w:val="11"/>
        </w:rPr>
        <w:t>2442.67</w:t>
      </w:r>
      <w:r>
        <w:rPr>
          <w:spacing w:val="63"/>
        </w:rPr>
        <w:t xml:space="preserve"> </w:t>
      </w:r>
      <w:r>
        <w:rPr>
          <w:spacing w:val="11"/>
        </w:rPr>
        <w:t>万元</w:t>
      </w:r>
      <w:r>
        <w:rPr>
          <w:spacing w:val="-84"/>
        </w:rPr>
        <w:t xml:space="preserve"> </w:t>
      </w:r>
      <w:r>
        <w:rPr>
          <w:spacing w:val="11"/>
        </w:rPr>
        <w:t>，</w:t>
      </w:r>
      <w:r>
        <w:rPr>
          <w:spacing w:val="-56"/>
        </w:rPr>
        <w:t xml:space="preserve"> </w:t>
      </w:r>
      <w:r>
        <w:rPr>
          <w:spacing w:val="11"/>
        </w:rPr>
        <w:t>占总投资的</w:t>
      </w:r>
      <w:r>
        <w:rPr>
          <w:spacing w:val="2"/>
        </w:rPr>
        <w:t>4.00%，发行费用</w:t>
      </w:r>
      <w:r>
        <w:rPr>
          <w:spacing w:val="-50"/>
        </w:rPr>
        <w:t xml:space="preserve"> </w:t>
      </w:r>
      <w:r>
        <w:rPr>
          <w:spacing w:val="2"/>
        </w:rPr>
        <w:t>48.00 万元，</w:t>
      </w:r>
      <w:r>
        <w:rPr>
          <w:spacing w:val="-84"/>
        </w:rPr>
        <w:t xml:space="preserve"> </w:t>
      </w:r>
      <w:r>
        <w:rPr>
          <w:spacing w:val="2"/>
        </w:rPr>
        <w:t>占总投</w:t>
      </w:r>
      <w:r>
        <w:rPr>
          <w:spacing w:val="1"/>
        </w:rPr>
        <w:t>资的</w:t>
      </w:r>
      <w:r>
        <w:rPr>
          <w:spacing w:val="-39"/>
        </w:rPr>
        <w:t xml:space="preserve"> </w:t>
      </w:r>
      <w:r>
        <w:rPr>
          <w:spacing w:val="1"/>
        </w:rPr>
        <w:t>0.08%。</w:t>
      </w:r>
    </w:p>
    <w:p w14:paraId="670DF812">
      <w:pPr>
        <w:spacing w:before="4" w:line="219" w:lineRule="auto"/>
        <w:ind w:left="758"/>
        <w:outlineLvl w:val="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（二）资金筹措方案</w:t>
      </w:r>
    </w:p>
    <w:p w14:paraId="664E8DBD">
      <w:pPr>
        <w:pStyle w:val="2"/>
        <w:spacing w:before="191" w:line="219" w:lineRule="auto"/>
        <w:ind w:left="786"/>
        <w:outlineLvl w:val="2"/>
      </w:pPr>
      <w:r>
        <w:rPr>
          <w:b/>
          <w:bCs/>
          <w:spacing w:val="-2"/>
        </w:rPr>
        <w:t>1.</w:t>
      </w:r>
      <w:r>
        <w:rPr>
          <w:spacing w:val="-17"/>
        </w:rPr>
        <w:t xml:space="preserve"> </w:t>
      </w:r>
      <w:r>
        <w:rPr>
          <w:b/>
          <w:bCs/>
          <w:spacing w:val="-2"/>
        </w:rPr>
        <w:t>资金筹集情况</w:t>
      </w:r>
    </w:p>
    <w:p w14:paraId="4F6793D3">
      <w:pPr>
        <w:pStyle w:val="2"/>
        <w:spacing w:before="192" w:line="333" w:lineRule="auto"/>
        <w:ind w:left="136" w:right="107" w:firstLine="633"/>
      </w:pPr>
      <w:r>
        <w:rPr>
          <w:spacing w:val="2"/>
        </w:rPr>
        <w:t>项目总投资为</w:t>
      </w:r>
      <w:r>
        <w:rPr>
          <w:spacing w:val="-48"/>
        </w:rPr>
        <w:t xml:space="preserve"> </w:t>
      </w:r>
      <w:r>
        <w:rPr>
          <w:spacing w:val="2"/>
        </w:rPr>
        <w:t>61000.00 万元，其中项目资本金为</w:t>
      </w:r>
      <w:r>
        <w:rPr>
          <w:spacing w:val="-41"/>
        </w:rPr>
        <w:t xml:space="preserve"> </w:t>
      </w:r>
      <w:r>
        <w:rPr>
          <w:spacing w:val="1"/>
        </w:rPr>
        <w:t>13000.00</w:t>
      </w:r>
      <w:r>
        <w:rPr>
          <w:spacing w:val="3"/>
        </w:rPr>
        <w:t>元，</w:t>
      </w:r>
      <w:r>
        <w:rPr>
          <w:spacing w:val="-73"/>
        </w:rPr>
        <w:t xml:space="preserve"> </w:t>
      </w:r>
      <w:r>
        <w:rPr>
          <w:spacing w:val="3"/>
        </w:rPr>
        <w:t>占总投资的</w:t>
      </w:r>
      <w:r>
        <w:rPr>
          <w:spacing w:val="-48"/>
        </w:rPr>
        <w:t xml:space="preserve"> </w:t>
      </w:r>
      <w:r>
        <w:rPr>
          <w:spacing w:val="3"/>
        </w:rPr>
        <w:t>21.31%，资本金来源于企业自筹。</w:t>
      </w:r>
    </w:p>
    <w:p w14:paraId="435EC6F5">
      <w:pPr>
        <w:pStyle w:val="2"/>
        <w:spacing w:before="4" w:line="333" w:lineRule="auto"/>
        <w:ind w:left="140" w:right="110" w:firstLine="625"/>
        <w:jc w:val="both"/>
      </w:pPr>
      <w:r>
        <w:rPr>
          <w:spacing w:val="11"/>
        </w:rPr>
        <w:t>发行</w:t>
      </w:r>
      <w:r>
        <w:rPr>
          <w:spacing w:val="-27"/>
        </w:rPr>
        <w:t xml:space="preserve"> </w:t>
      </w:r>
      <w:r>
        <w:rPr>
          <w:spacing w:val="11"/>
        </w:rPr>
        <w:t>20</w:t>
      </w:r>
      <w:r>
        <w:rPr>
          <w:spacing w:val="-37"/>
        </w:rPr>
        <w:t xml:space="preserve"> </w:t>
      </w:r>
      <w:r>
        <w:rPr>
          <w:spacing w:val="11"/>
        </w:rPr>
        <w:t>年期的政府专项债</w:t>
      </w:r>
      <w:r>
        <w:rPr>
          <w:spacing w:val="-25"/>
        </w:rPr>
        <w:t xml:space="preserve"> </w:t>
      </w:r>
      <w:r>
        <w:rPr>
          <w:spacing w:val="11"/>
        </w:rPr>
        <w:t>48000.00</w:t>
      </w:r>
      <w:r>
        <w:rPr>
          <w:spacing w:val="58"/>
        </w:rPr>
        <w:t xml:space="preserve"> </w:t>
      </w:r>
      <w:r>
        <w:rPr>
          <w:spacing w:val="11"/>
        </w:rPr>
        <w:t>万元</w:t>
      </w:r>
      <w:r>
        <w:rPr>
          <w:spacing w:val="-87"/>
        </w:rPr>
        <w:t xml:space="preserve"> </w:t>
      </w:r>
      <w:r>
        <w:rPr>
          <w:spacing w:val="11"/>
        </w:rPr>
        <w:t>，</w:t>
      </w:r>
      <w:r>
        <w:rPr>
          <w:spacing w:val="-60"/>
        </w:rPr>
        <w:t xml:space="preserve"> </w:t>
      </w:r>
      <w:r>
        <w:rPr>
          <w:spacing w:val="11"/>
        </w:rPr>
        <w:t>占总</w:t>
      </w:r>
      <w:r>
        <w:rPr>
          <w:spacing w:val="10"/>
        </w:rPr>
        <w:t>投资的</w:t>
      </w:r>
      <w:r>
        <w:rPr>
          <w:spacing w:val="-3"/>
        </w:rPr>
        <w:t>78.69%，2025</w:t>
      </w:r>
      <w:r>
        <w:rPr>
          <w:spacing w:val="-45"/>
        </w:rPr>
        <w:t xml:space="preserve"> </w:t>
      </w:r>
      <w:r>
        <w:rPr>
          <w:spacing w:val="-3"/>
        </w:rPr>
        <w:t>年拟发行</w:t>
      </w:r>
      <w:r>
        <w:rPr>
          <w:spacing w:val="-51"/>
        </w:rPr>
        <w:t xml:space="preserve"> </w:t>
      </w:r>
      <w:r>
        <w:rPr>
          <w:spacing w:val="-3"/>
        </w:rPr>
        <w:t>20000.00 万元，2026</w:t>
      </w:r>
      <w:r>
        <w:rPr>
          <w:spacing w:val="-58"/>
        </w:rPr>
        <w:t xml:space="preserve"> </w:t>
      </w:r>
      <w:r>
        <w:rPr>
          <w:spacing w:val="-3"/>
        </w:rPr>
        <w:t>年拟发行</w:t>
      </w:r>
      <w:r>
        <w:rPr>
          <w:spacing w:val="-48"/>
        </w:rPr>
        <w:t xml:space="preserve"> </w:t>
      </w:r>
      <w:r>
        <w:rPr>
          <w:spacing w:val="-3"/>
        </w:rPr>
        <w:t>20000.00</w:t>
      </w:r>
      <w:r>
        <w:rPr>
          <w:spacing w:val="1"/>
        </w:rPr>
        <w:t>万元，2027</w:t>
      </w:r>
      <w:r>
        <w:rPr>
          <w:spacing w:val="-41"/>
        </w:rPr>
        <w:t xml:space="preserve"> </w:t>
      </w:r>
      <w:r>
        <w:rPr>
          <w:spacing w:val="1"/>
        </w:rPr>
        <w:t>年拟发行</w:t>
      </w:r>
      <w:r>
        <w:rPr>
          <w:spacing w:val="-45"/>
        </w:rPr>
        <w:t xml:space="preserve"> </w:t>
      </w:r>
      <w:r>
        <w:rPr>
          <w:spacing w:val="1"/>
        </w:rPr>
        <w:t>8000.00</w:t>
      </w:r>
      <w:r>
        <w:rPr>
          <w:spacing w:val="-45"/>
        </w:rPr>
        <w:t xml:space="preserve"> </w:t>
      </w:r>
      <w:r>
        <w:rPr>
          <w:spacing w:val="1"/>
        </w:rPr>
        <w:t>万元。</w:t>
      </w:r>
    </w:p>
    <w:p w14:paraId="2891D9DD">
      <w:pPr>
        <w:pStyle w:val="2"/>
        <w:spacing w:before="1" w:line="219" w:lineRule="auto"/>
        <w:ind w:left="778"/>
        <w:outlineLvl w:val="2"/>
      </w:pPr>
      <w:r>
        <w:rPr>
          <w:b/>
          <w:bCs/>
          <w:spacing w:val="-1"/>
        </w:rPr>
        <w:t>2.</w:t>
      </w:r>
      <w:r>
        <w:rPr>
          <w:spacing w:val="38"/>
        </w:rPr>
        <w:t xml:space="preserve"> </w:t>
      </w:r>
      <w:r>
        <w:rPr>
          <w:b/>
          <w:bCs/>
          <w:spacing w:val="-1"/>
        </w:rPr>
        <w:t>资金使用计划</w:t>
      </w:r>
    </w:p>
    <w:p w14:paraId="3FDAD3AC">
      <w:pPr>
        <w:pStyle w:val="2"/>
        <w:spacing w:before="194" w:line="333" w:lineRule="auto"/>
        <w:ind w:left="123" w:right="109" w:firstLine="645"/>
        <w:jc w:val="both"/>
      </w:pPr>
      <w:r>
        <w:rPr>
          <w:spacing w:val="17"/>
        </w:rPr>
        <w:t>项目所筹资金将根据项目实施计划和实时建设进度来进行</w:t>
      </w:r>
      <w:r>
        <w:rPr>
          <w:spacing w:val="5"/>
        </w:rPr>
        <w:t>合理分配，且将全部投资用于本项目建设，具体数额应当根据进度支出。在保证项目工程投资资金充足的情况下，充分利用且不</w:t>
      </w:r>
      <w:r>
        <w:rPr>
          <w:spacing w:val="7"/>
        </w:rPr>
        <w:t>浪费当年度专项债券融资额度。按照建设进度</w:t>
      </w:r>
      <w:r>
        <w:rPr>
          <w:spacing w:val="6"/>
        </w:rPr>
        <w:t>，总投资计划分</w:t>
      </w:r>
      <w:r>
        <w:rPr>
          <w:spacing w:val="-38"/>
        </w:rPr>
        <w:t xml:space="preserve"> </w:t>
      </w:r>
      <w:r>
        <w:rPr>
          <w:spacing w:val="6"/>
        </w:rPr>
        <w:t>3</w:t>
      </w:r>
      <w:r>
        <w:rPr>
          <w:spacing w:val="9"/>
        </w:rPr>
        <w:t>个年度投入，具体的资金使用、筹措计划见下表：</w:t>
      </w:r>
    </w:p>
    <w:p w14:paraId="3DFBA902">
      <w:pPr>
        <w:pStyle w:val="2"/>
        <w:spacing w:before="33" w:line="219" w:lineRule="auto"/>
        <w:ind w:left="3427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项目资金使用与筹措表</w:t>
      </w:r>
    </w:p>
    <w:p w14:paraId="4A874321">
      <w:pPr>
        <w:pStyle w:val="2"/>
        <w:spacing w:before="227" w:line="219" w:lineRule="auto"/>
        <w:ind w:left="7576"/>
        <w:rPr>
          <w:sz w:val="28"/>
          <w:szCs w:val="28"/>
        </w:rPr>
      </w:pPr>
      <w:r>
        <w:rPr>
          <w:b/>
          <w:bCs/>
          <w:spacing w:val="-7"/>
          <w:sz w:val="28"/>
          <w:szCs w:val="28"/>
        </w:rPr>
        <w:t>单位：万元</w:t>
      </w:r>
    </w:p>
    <w:p w14:paraId="20370324">
      <w:pPr>
        <w:spacing w:line="21" w:lineRule="exact"/>
      </w:pPr>
    </w:p>
    <w:tbl>
      <w:tblPr>
        <w:tblStyle w:val="5"/>
        <w:tblW w:w="90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1405"/>
        <w:gridCol w:w="1115"/>
        <w:gridCol w:w="1377"/>
        <w:gridCol w:w="1381"/>
        <w:gridCol w:w="1381"/>
        <w:gridCol w:w="1728"/>
      </w:tblGrid>
      <w:tr w14:paraId="15A41A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673" w:type="dxa"/>
            <w:vMerge w:val="restart"/>
            <w:tcBorders>
              <w:bottom w:val="nil"/>
            </w:tcBorders>
            <w:vAlign w:val="top"/>
          </w:tcPr>
          <w:p w14:paraId="5604D815">
            <w:pPr>
              <w:spacing w:line="477" w:lineRule="auto"/>
              <w:rPr>
                <w:rFonts w:ascii="Arial"/>
                <w:sz w:val="21"/>
              </w:rPr>
            </w:pPr>
          </w:p>
          <w:p w14:paraId="5391A04C">
            <w:pPr>
              <w:pStyle w:val="6"/>
              <w:spacing w:before="71" w:line="222" w:lineRule="auto"/>
              <w:ind w:left="127"/>
              <w:rPr>
                <w:sz w:val="22"/>
                <w:szCs w:val="22"/>
              </w:rPr>
            </w:pPr>
            <w:r>
              <w:rPr>
                <w:b/>
                <w:bCs/>
                <w:spacing w:val="-9"/>
                <w:sz w:val="22"/>
                <w:szCs w:val="22"/>
              </w:rPr>
              <w:t>序号</w:t>
            </w:r>
          </w:p>
        </w:tc>
        <w:tc>
          <w:tcPr>
            <w:tcW w:w="1405" w:type="dxa"/>
            <w:vMerge w:val="restart"/>
            <w:tcBorders>
              <w:bottom w:val="nil"/>
            </w:tcBorders>
            <w:vAlign w:val="top"/>
          </w:tcPr>
          <w:p w14:paraId="5B3DD9F9">
            <w:pPr>
              <w:spacing w:line="477" w:lineRule="auto"/>
              <w:rPr>
                <w:rFonts w:ascii="Arial"/>
                <w:sz w:val="21"/>
              </w:rPr>
            </w:pPr>
          </w:p>
          <w:p w14:paraId="2674DD07">
            <w:pPr>
              <w:pStyle w:val="6"/>
              <w:spacing w:before="72" w:line="223" w:lineRule="auto"/>
              <w:ind w:left="381"/>
              <w:rPr>
                <w:sz w:val="22"/>
                <w:szCs w:val="22"/>
              </w:rPr>
            </w:pPr>
            <w:r>
              <w:rPr>
                <w:b/>
                <w:bCs/>
                <w:spacing w:val="-10"/>
                <w:sz w:val="22"/>
                <w:szCs w:val="22"/>
              </w:rPr>
              <w:t>项</w:t>
            </w:r>
            <w:r>
              <w:rPr>
                <w:spacing w:val="27"/>
                <w:sz w:val="22"/>
                <w:szCs w:val="22"/>
              </w:rPr>
              <w:t xml:space="preserve">  </w:t>
            </w:r>
            <w:r>
              <w:rPr>
                <w:b/>
                <w:bCs/>
                <w:spacing w:val="-10"/>
                <w:sz w:val="22"/>
                <w:szCs w:val="22"/>
              </w:rPr>
              <w:t>目</w:t>
            </w:r>
          </w:p>
        </w:tc>
        <w:tc>
          <w:tcPr>
            <w:tcW w:w="1115" w:type="dxa"/>
            <w:vMerge w:val="restart"/>
            <w:tcBorders>
              <w:bottom w:val="nil"/>
            </w:tcBorders>
            <w:vAlign w:val="top"/>
          </w:tcPr>
          <w:p w14:paraId="5A20E8DC">
            <w:pPr>
              <w:spacing w:line="477" w:lineRule="auto"/>
              <w:rPr>
                <w:rFonts w:ascii="Arial"/>
                <w:sz w:val="21"/>
              </w:rPr>
            </w:pPr>
          </w:p>
          <w:p w14:paraId="5B9F4DCF">
            <w:pPr>
              <w:pStyle w:val="6"/>
              <w:spacing w:before="71" w:line="222" w:lineRule="auto"/>
              <w:ind w:left="354"/>
              <w:rPr>
                <w:sz w:val="22"/>
                <w:szCs w:val="22"/>
              </w:rPr>
            </w:pPr>
            <w:r>
              <w:rPr>
                <w:b/>
                <w:bCs/>
                <w:spacing w:val="-12"/>
                <w:sz w:val="22"/>
                <w:szCs w:val="22"/>
              </w:rPr>
              <w:t>合计</w:t>
            </w:r>
          </w:p>
        </w:tc>
        <w:tc>
          <w:tcPr>
            <w:tcW w:w="1377" w:type="dxa"/>
            <w:vMerge w:val="restart"/>
            <w:tcBorders>
              <w:bottom w:val="nil"/>
            </w:tcBorders>
            <w:vAlign w:val="top"/>
          </w:tcPr>
          <w:p w14:paraId="3A328B03">
            <w:pPr>
              <w:spacing w:line="477" w:lineRule="auto"/>
              <w:rPr>
                <w:rFonts w:ascii="Arial"/>
                <w:sz w:val="21"/>
              </w:rPr>
            </w:pPr>
          </w:p>
          <w:p w14:paraId="66E5FA31">
            <w:pPr>
              <w:pStyle w:val="6"/>
              <w:spacing w:before="71" w:line="222" w:lineRule="auto"/>
              <w:ind w:left="504"/>
              <w:rPr>
                <w:sz w:val="22"/>
                <w:szCs w:val="22"/>
              </w:rPr>
            </w:pPr>
            <w:r>
              <w:rPr>
                <w:b/>
                <w:bCs/>
                <w:spacing w:val="-22"/>
                <w:sz w:val="22"/>
                <w:szCs w:val="22"/>
              </w:rPr>
              <w:t>比例</w:t>
            </w:r>
          </w:p>
        </w:tc>
        <w:tc>
          <w:tcPr>
            <w:tcW w:w="4490" w:type="dxa"/>
            <w:gridSpan w:val="3"/>
            <w:vAlign w:val="top"/>
          </w:tcPr>
          <w:p w14:paraId="1DC051BB">
            <w:pPr>
              <w:pStyle w:val="6"/>
              <w:spacing w:before="112" w:line="220" w:lineRule="auto"/>
              <w:ind w:left="1926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建设期</w:t>
            </w:r>
          </w:p>
        </w:tc>
      </w:tr>
      <w:tr w14:paraId="4FCFF8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673" w:type="dxa"/>
            <w:vMerge w:val="continue"/>
            <w:tcBorders>
              <w:top w:val="nil"/>
            </w:tcBorders>
            <w:vAlign w:val="top"/>
          </w:tcPr>
          <w:p w14:paraId="52E8DB47"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Merge w:val="continue"/>
            <w:tcBorders>
              <w:top w:val="nil"/>
            </w:tcBorders>
            <w:vAlign w:val="top"/>
          </w:tcPr>
          <w:p w14:paraId="3773F1ED"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Merge w:val="continue"/>
            <w:tcBorders>
              <w:top w:val="nil"/>
            </w:tcBorders>
            <w:vAlign w:val="top"/>
          </w:tcPr>
          <w:p w14:paraId="084C6AED">
            <w:pPr>
              <w:rPr>
                <w:rFonts w:ascii="Arial"/>
                <w:sz w:val="21"/>
              </w:rPr>
            </w:pPr>
          </w:p>
        </w:tc>
        <w:tc>
          <w:tcPr>
            <w:tcW w:w="1377" w:type="dxa"/>
            <w:vMerge w:val="continue"/>
            <w:tcBorders>
              <w:top w:val="nil"/>
            </w:tcBorders>
            <w:vAlign w:val="top"/>
          </w:tcPr>
          <w:p w14:paraId="3129B582"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 w14:paraId="3AEC341F">
            <w:pPr>
              <w:pStyle w:val="6"/>
              <w:spacing w:before="119" w:line="229" w:lineRule="auto"/>
              <w:ind w:left="169"/>
            </w:pPr>
            <w:r>
              <w:rPr>
                <w:b/>
                <w:bCs/>
                <w:spacing w:val="-2"/>
              </w:rPr>
              <w:t>2025</w:t>
            </w:r>
            <w:r>
              <w:rPr>
                <w:spacing w:val="-26"/>
              </w:rPr>
              <w:t xml:space="preserve"> </w:t>
            </w:r>
            <w:r>
              <w:rPr>
                <w:b/>
                <w:bCs/>
                <w:spacing w:val="-2"/>
              </w:rPr>
              <w:t>年</w:t>
            </w:r>
            <w:r>
              <w:rPr>
                <w:spacing w:val="-37"/>
              </w:rPr>
              <w:t xml:space="preserve"> </w:t>
            </w:r>
            <w:r>
              <w:rPr>
                <w:b/>
                <w:bCs/>
                <w:spacing w:val="-2"/>
              </w:rPr>
              <w:t>8</w:t>
            </w:r>
            <w:r>
              <w:rPr>
                <w:spacing w:val="-21"/>
              </w:rPr>
              <w:t xml:space="preserve"> </w:t>
            </w:r>
            <w:r>
              <w:rPr>
                <w:b/>
                <w:bCs/>
                <w:spacing w:val="-2"/>
              </w:rPr>
              <w:t>月</w:t>
            </w:r>
          </w:p>
          <w:p w14:paraId="095CD0F1">
            <w:pPr>
              <w:pStyle w:val="6"/>
              <w:spacing w:before="198" w:line="229" w:lineRule="auto"/>
              <w:ind w:left="417"/>
            </w:pPr>
            <w:r>
              <w:rPr>
                <w:b/>
                <w:bCs/>
              </w:rPr>
              <w:t>-12</w:t>
            </w:r>
            <w:r>
              <w:rPr>
                <w:spacing w:val="-22"/>
              </w:rPr>
              <w:t xml:space="preserve"> </w:t>
            </w:r>
            <w:r>
              <w:rPr>
                <w:b/>
                <w:bCs/>
              </w:rPr>
              <w:t>月</w:t>
            </w:r>
          </w:p>
        </w:tc>
        <w:tc>
          <w:tcPr>
            <w:tcW w:w="1381" w:type="dxa"/>
            <w:vAlign w:val="top"/>
          </w:tcPr>
          <w:p w14:paraId="2E702DEE">
            <w:pPr>
              <w:spacing w:line="274" w:lineRule="auto"/>
              <w:rPr>
                <w:rFonts w:ascii="Arial"/>
                <w:sz w:val="21"/>
              </w:rPr>
            </w:pPr>
          </w:p>
          <w:p w14:paraId="4B6B6A3F">
            <w:pPr>
              <w:pStyle w:val="6"/>
              <w:spacing w:before="62" w:line="230" w:lineRule="auto"/>
              <w:ind w:left="372"/>
            </w:pPr>
            <w:r>
              <w:rPr>
                <w:b/>
                <w:bCs/>
              </w:rPr>
              <w:t>2026</w:t>
            </w:r>
            <w:r>
              <w:rPr>
                <w:spacing w:val="-25"/>
              </w:rPr>
              <w:t xml:space="preserve"> </w:t>
            </w:r>
            <w:r>
              <w:rPr>
                <w:b/>
                <w:bCs/>
              </w:rPr>
              <w:t>年</w:t>
            </w:r>
          </w:p>
        </w:tc>
        <w:tc>
          <w:tcPr>
            <w:tcW w:w="1728" w:type="dxa"/>
            <w:vAlign w:val="top"/>
          </w:tcPr>
          <w:p w14:paraId="423DF583">
            <w:pPr>
              <w:spacing w:line="274" w:lineRule="auto"/>
              <w:rPr>
                <w:rFonts w:ascii="Arial"/>
                <w:sz w:val="21"/>
              </w:rPr>
            </w:pPr>
          </w:p>
          <w:p w14:paraId="6010C8E3">
            <w:pPr>
              <w:pStyle w:val="6"/>
              <w:spacing w:before="62" w:line="229" w:lineRule="auto"/>
              <w:ind w:left="117"/>
            </w:pPr>
            <w:r>
              <w:rPr>
                <w:b/>
                <w:bCs/>
                <w:spacing w:val="-4"/>
              </w:rPr>
              <w:t>2027</w:t>
            </w:r>
            <w:r>
              <w:rPr>
                <w:spacing w:val="-21"/>
              </w:rPr>
              <w:t xml:space="preserve"> </w:t>
            </w:r>
            <w:r>
              <w:rPr>
                <w:b/>
                <w:bCs/>
                <w:spacing w:val="-4"/>
              </w:rPr>
              <w:t>年</w:t>
            </w:r>
            <w:r>
              <w:rPr>
                <w:spacing w:val="-23"/>
              </w:rPr>
              <w:t xml:space="preserve"> </w:t>
            </w:r>
            <w:r>
              <w:rPr>
                <w:b/>
                <w:bCs/>
                <w:spacing w:val="-4"/>
              </w:rPr>
              <w:t>1</w:t>
            </w:r>
            <w:r>
              <w:rPr>
                <w:spacing w:val="-21"/>
              </w:rPr>
              <w:t xml:space="preserve"> </w:t>
            </w:r>
            <w:r>
              <w:rPr>
                <w:b/>
                <w:bCs/>
                <w:spacing w:val="-4"/>
              </w:rPr>
              <w:t>月-7</w:t>
            </w:r>
            <w:r>
              <w:rPr>
                <w:spacing w:val="-20"/>
              </w:rPr>
              <w:t xml:space="preserve"> </w:t>
            </w:r>
            <w:r>
              <w:rPr>
                <w:b/>
                <w:bCs/>
                <w:spacing w:val="-4"/>
              </w:rPr>
              <w:t>月</w:t>
            </w:r>
          </w:p>
        </w:tc>
      </w:tr>
      <w:tr w14:paraId="7263E0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73" w:type="dxa"/>
            <w:vAlign w:val="top"/>
          </w:tcPr>
          <w:p w14:paraId="5F85C844">
            <w:pPr>
              <w:pStyle w:val="6"/>
              <w:spacing w:before="199" w:line="154" w:lineRule="exact"/>
              <w:ind w:left="241"/>
              <w:rPr>
                <w:sz w:val="22"/>
                <w:szCs w:val="22"/>
              </w:rPr>
            </w:pPr>
            <w:r>
              <w:rPr>
                <w:b/>
                <w:bCs/>
                <w:spacing w:val="-3"/>
                <w:position w:val="-10"/>
                <w:sz w:val="22"/>
                <w:szCs w:val="22"/>
              </w:rPr>
              <w:t>一</w:t>
            </w:r>
          </w:p>
        </w:tc>
        <w:tc>
          <w:tcPr>
            <w:tcW w:w="1405" w:type="dxa"/>
            <w:vAlign w:val="top"/>
          </w:tcPr>
          <w:p w14:paraId="4F3983AB">
            <w:pPr>
              <w:pStyle w:val="6"/>
              <w:spacing w:before="111" w:line="220" w:lineRule="auto"/>
              <w:ind w:left="281"/>
              <w:rPr>
                <w:sz w:val="22"/>
                <w:szCs w:val="22"/>
              </w:rPr>
            </w:pPr>
            <w:r>
              <w:rPr>
                <w:b/>
                <w:bCs/>
                <w:spacing w:val="-8"/>
                <w:sz w:val="22"/>
                <w:szCs w:val="22"/>
              </w:rPr>
              <w:t>资金使用</w:t>
            </w:r>
          </w:p>
        </w:tc>
        <w:tc>
          <w:tcPr>
            <w:tcW w:w="1115" w:type="dxa"/>
            <w:vAlign w:val="top"/>
          </w:tcPr>
          <w:p w14:paraId="167954C2">
            <w:pPr>
              <w:spacing w:before="146" w:line="189" w:lineRule="auto"/>
              <w:ind w:left="14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61000.00</w:t>
            </w:r>
          </w:p>
        </w:tc>
        <w:tc>
          <w:tcPr>
            <w:tcW w:w="1377" w:type="dxa"/>
            <w:vAlign w:val="top"/>
          </w:tcPr>
          <w:p w14:paraId="6E950C9C">
            <w:pPr>
              <w:spacing w:before="146" w:line="189" w:lineRule="auto"/>
              <w:ind w:left="28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100.00%</w:t>
            </w:r>
          </w:p>
        </w:tc>
        <w:tc>
          <w:tcPr>
            <w:tcW w:w="1381" w:type="dxa"/>
            <w:vAlign w:val="top"/>
          </w:tcPr>
          <w:p w14:paraId="00FCB7BB">
            <w:pPr>
              <w:spacing w:before="146" w:line="189" w:lineRule="auto"/>
              <w:ind w:left="28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25000.00</w:t>
            </w:r>
          </w:p>
        </w:tc>
        <w:tc>
          <w:tcPr>
            <w:tcW w:w="1381" w:type="dxa"/>
            <w:vAlign w:val="top"/>
          </w:tcPr>
          <w:p w14:paraId="661E09B0">
            <w:pPr>
              <w:spacing w:before="146" w:line="189" w:lineRule="auto"/>
              <w:ind w:left="28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25000.00</w:t>
            </w:r>
          </w:p>
        </w:tc>
        <w:tc>
          <w:tcPr>
            <w:tcW w:w="1728" w:type="dxa"/>
            <w:vAlign w:val="top"/>
          </w:tcPr>
          <w:p w14:paraId="06A57CCF">
            <w:pPr>
              <w:spacing w:before="146" w:line="189" w:lineRule="auto"/>
              <w:ind w:left="46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11000.00</w:t>
            </w:r>
          </w:p>
        </w:tc>
      </w:tr>
      <w:tr w14:paraId="38837A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73" w:type="dxa"/>
            <w:vAlign w:val="top"/>
          </w:tcPr>
          <w:p w14:paraId="0EA5B1DB">
            <w:pPr>
              <w:pStyle w:val="6"/>
              <w:spacing w:before="110" w:line="300" w:lineRule="exact"/>
              <w:ind w:left="302"/>
              <w:rPr>
                <w:sz w:val="22"/>
                <w:szCs w:val="22"/>
              </w:rPr>
            </w:pPr>
            <w:r>
              <w:rPr>
                <w:position w:val="1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top"/>
          </w:tcPr>
          <w:p w14:paraId="30F1A9AB">
            <w:pPr>
              <w:pStyle w:val="6"/>
              <w:spacing w:before="110" w:line="220" w:lineRule="auto"/>
              <w:ind w:left="27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建设投资</w:t>
            </w:r>
          </w:p>
        </w:tc>
        <w:tc>
          <w:tcPr>
            <w:tcW w:w="1115" w:type="dxa"/>
            <w:vAlign w:val="top"/>
          </w:tcPr>
          <w:p w14:paraId="0D040B00">
            <w:pPr>
              <w:spacing w:before="148" w:line="189" w:lineRule="auto"/>
              <w:ind w:left="14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58509.33</w:t>
            </w:r>
          </w:p>
        </w:tc>
        <w:tc>
          <w:tcPr>
            <w:tcW w:w="1377" w:type="dxa"/>
            <w:vAlign w:val="top"/>
          </w:tcPr>
          <w:p w14:paraId="4F0FA01F">
            <w:pPr>
              <w:spacing w:before="148" w:line="189" w:lineRule="auto"/>
              <w:ind w:left="33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95.92%</w:t>
            </w:r>
          </w:p>
        </w:tc>
        <w:tc>
          <w:tcPr>
            <w:tcW w:w="1381" w:type="dxa"/>
            <w:vAlign w:val="top"/>
          </w:tcPr>
          <w:p w14:paraId="043CDF5B">
            <w:pPr>
              <w:spacing w:before="148" w:line="189" w:lineRule="auto"/>
              <w:ind w:left="28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24713.33</w:t>
            </w:r>
          </w:p>
        </w:tc>
        <w:tc>
          <w:tcPr>
            <w:tcW w:w="1381" w:type="dxa"/>
            <w:vAlign w:val="top"/>
          </w:tcPr>
          <w:p w14:paraId="03498F80">
            <w:pPr>
              <w:spacing w:before="148" w:line="189" w:lineRule="auto"/>
              <w:ind w:left="28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23700.00</w:t>
            </w:r>
          </w:p>
        </w:tc>
        <w:tc>
          <w:tcPr>
            <w:tcW w:w="1728" w:type="dxa"/>
            <w:vAlign w:val="top"/>
          </w:tcPr>
          <w:p w14:paraId="293AC9A3">
            <w:pPr>
              <w:spacing w:before="148" w:line="189" w:lineRule="auto"/>
              <w:ind w:left="47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10096.00</w:t>
            </w:r>
          </w:p>
        </w:tc>
      </w:tr>
      <w:tr w14:paraId="21DB25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673" w:type="dxa"/>
            <w:vAlign w:val="top"/>
          </w:tcPr>
          <w:p w14:paraId="6FC9CF32">
            <w:pPr>
              <w:pStyle w:val="6"/>
              <w:spacing w:before="163" w:line="300" w:lineRule="exact"/>
              <w:ind w:left="288"/>
              <w:rPr>
                <w:sz w:val="22"/>
                <w:szCs w:val="22"/>
              </w:rPr>
            </w:pPr>
            <w:r>
              <w:rPr>
                <w:position w:val="1"/>
                <w:sz w:val="22"/>
                <w:szCs w:val="22"/>
              </w:rPr>
              <w:t>2</w:t>
            </w:r>
          </w:p>
        </w:tc>
        <w:tc>
          <w:tcPr>
            <w:tcW w:w="1405" w:type="dxa"/>
            <w:vAlign w:val="top"/>
          </w:tcPr>
          <w:p w14:paraId="0DCA4E38">
            <w:pPr>
              <w:pStyle w:val="6"/>
              <w:spacing w:before="163" w:line="220" w:lineRule="auto"/>
              <w:ind w:left="16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建设期专项</w:t>
            </w:r>
          </w:p>
        </w:tc>
        <w:tc>
          <w:tcPr>
            <w:tcW w:w="1115" w:type="dxa"/>
            <w:vAlign w:val="top"/>
          </w:tcPr>
          <w:p w14:paraId="1821755A">
            <w:pPr>
              <w:spacing w:before="201" w:line="189" w:lineRule="auto"/>
              <w:ind w:left="19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2442.67</w:t>
            </w:r>
          </w:p>
        </w:tc>
        <w:tc>
          <w:tcPr>
            <w:tcW w:w="1377" w:type="dxa"/>
            <w:vAlign w:val="top"/>
          </w:tcPr>
          <w:p w14:paraId="4695B248">
            <w:pPr>
              <w:spacing w:before="201" w:line="189" w:lineRule="auto"/>
              <w:ind w:left="38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4.00%</w:t>
            </w:r>
          </w:p>
        </w:tc>
        <w:tc>
          <w:tcPr>
            <w:tcW w:w="1381" w:type="dxa"/>
            <w:vAlign w:val="top"/>
          </w:tcPr>
          <w:p w14:paraId="6767ADFF">
            <w:pPr>
              <w:spacing w:before="201" w:line="189" w:lineRule="auto"/>
              <w:ind w:left="39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266.67</w:t>
            </w:r>
          </w:p>
        </w:tc>
        <w:tc>
          <w:tcPr>
            <w:tcW w:w="1381" w:type="dxa"/>
            <w:vAlign w:val="top"/>
          </w:tcPr>
          <w:p w14:paraId="6A9A3CF1">
            <w:pPr>
              <w:spacing w:before="201" w:line="189" w:lineRule="auto"/>
              <w:ind w:left="35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1280.00</w:t>
            </w:r>
          </w:p>
        </w:tc>
        <w:tc>
          <w:tcPr>
            <w:tcW w:w="1728" w:type="dxa"/>
            <w:vAlign w:val="top"/>
          </w:tcPr>
          <w:p w14:paraId="42289F4C">
            <w:pPr>
              <w:spacing w:before="201" w:line="189" w:lineRule="auto"/>
              <w:ind w:left="57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896.00</w:t>
            </w:r>
          </w:p>
        </w:tc>
      </w:tr>
    </w:tbl>
    <w:p w14:paraId="0ACB638C">
      <w:pPr>
        <w:rPr>
          <w:rFonts w:ascii="Arial"/>
          <w:sz w:val="21"/>
        </w:rPr>
      </w:pPr>
    </w:p>
    <w:p w14:paraId="3F0C795E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9"/>
          <w:pgMar w:top="1431" w:right="1309" w:bottom="1315" w:left="1531" w:header="0" w:footer="948" w:gutter="0"/>
          <w:cols w:space="720" w:num="1"/>
        </w:sectPr>
      </w:pPr>
    </w:p>
    <w:p w14:paraId="6F99ECA2">
      <w:pPr>
        <w:spacing w:before="92"/>
      </w:pPr>
    </w:p>
    <w:p w14:paraId="5E2223DC">
      <w:pPr>
        <w:spacing w:before="91"/>
      </w:pPr>
    </w:p>
    <w:tbl>
      <w:tblPr>
        <w:tblStyle w:val="5"/>
        <w:tblW w:w="90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1405"/>
        <w:gridCol w:w="1115"/>
        <w:gridCol w:w="1377"/>
        <w:gridCol w:w="1381"/>
        <w:gridCol w:w="1381"/>
        <w:gridCol w:w="1728"/>
      </w:tblGrid>
      <w:tr w14:paraId="0295A6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673" w:type="dxa"/>
            <w:vAlign w:val="top"/>
          </w:tcPr>
          <w:p w14:paraId="0C32602C"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vAlign w:val="top"/>
          </w:tcPr>
          <w:p w14:paraId="1050589C">
            <w:pPr>
              <w:pStyle w:val="6"/>
              <w:spacing w:before="112" w:line="220" w:lineRule="auto"/>
              <w:ind w:left="274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债券利息</w:t>
            </w:r>
          </w:p>
        </w:tc>
        <w:tc>
          <w:tcPr>
            <w:tcW w:w="1115" w:type="dxa"/>
            <w:vAlign w:val="top"/>
          </w:tcPr>
          <w:p w14:paraId="714BF2C7">
            <w:pPr>
              <w:rPr>
                <w:rFonts w:ascii="Arial"/>
                <w:sz w:val="21"/>
              </w:rPr>
            </w:pPr>
          </w:p>
        </w:tc>
        <w:tc>
          <w:tcPr>
            <w:tcW w:w="1377" w:type="dxa"/>
            <w:vAlign w:val="top"/>
          </w:tcPr>
          <w:p w14:paraId="0315D5A9"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 w14:paraId="176F8C0D">
            <w:pPr>
              <w:rPr>
                <w:rFonts w:ascii="Arial"/>
                <w:sz w:val="21"/>
              </w:rPr>
            </w:pPr>
          </w:p>
        </w:tc>
        <w:tc>
          <w:tcPr>
            <w:tcW w:w="1381" w:type="dxa"/>
            <w:vAlign w:val="top"/>
          </w:tcPr>
          <w:p w14:paraId="1115A6F3">
            <w:pPr>
              <w:rPr>
                <w:rFonts w:ascii="Arial"/>
                <w:sz w:val="21"/>
              </w:rPr>
            </w:pPr>
          </w:p>
        </w:tc>
        <w:tc>
          <w:tcPr>
            <w:tcW w:w="1728" w:type="dxa"/>
            <w:vAlign w:val="top"/>
          </w:tcPr>
          <w:p w14:paraId="7FB690D3">
            <w:pPr>
              <w:rPr>
                <w:rFonts w:ascii="Arial"/>
                <w:sz w:val="21"/>
              </w:rPr>
            </w:pPr>
          </w:p>
        </w:tc>
      </w:tr>
      <w:tr w14:paraId="7CD31E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673" w:type="dxa"/>
            <w:vAlign w:val="top"/>
          </w:tcPr>
          <w:p w14:paraId="6AD47FEE">
            <w:pPr>
              <w:spacing w:line="251" w:lineRule="auto"/>
              <w:rPr>
                <w:rFonts w:ascii="Arial"/>
                <w:sz w:val="21"/>
              </w:rPr>
            </w:pPr>
          </w:p>
          <w:p w14:paraId="6B36410B">
            <w:pPr>
              <w:pStyle w:val="6"/>
              <w:spacing w:before="72" w:line="296" w:lineRule="exact"/>
              <w:ind w:left="290"/>
              <w:rPr>
                <w:sz w:val="22"/>
                <w:szCs w:val="22"/>
              </w:rPr>
            </w:pPr>
            <w:r>
              <w:rPr>
                <w:position w:val="1"/>
                <w:sz w:val="22"/>
                <w:szCs w:val="22"/>
              </w:rPr>
              <w:t>3</w:t>
            </w:r>
          </w:p>
        </w:tc>
        <w:tc>
          <w:tcPr>
            <w:tcW w:w="1405" w:type="dxa"/>
            <w:vAlign w:val="top"/>
          </w:tcPr>
          <w:p w14:paraId="571CF054">
            <w:pPr>
              <w:pStyle w:val="6"/>
              <w:spacing w:before="107" w:line="317" w:lineRule="auto"/>
              <w:ind w:left="600" w:right="150" w:hanging="437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债券发行费</w:t>
            </w:r>
            <w:r>
              <w:rPr>
                <w:sz w:val="22"/>
                <w:szCs w:val="22"/>
              </w:rPr>
              <w:t>用</w:t>
            </w:r>
          </w:p>
        </w:tc>
        <w:tc>
          <w:tcPr>
            <w:tcW w:w="1115" w:type="dxa"/>
            <w:vAlign w:val="top"/>
          </w:tcPr>
          <w:p w14:paraId="7CACFBCD">
            <w:pPr>
              <w:spacing w:line="297" w:lineRule="auto"/>
              <w:rPr>
                <w:rFonts w:ascii="Arial"/>
                <w:sz w:val="21"/>
              </w:rPr>
            </w:pPr>
          </w:p>
          <w:p w14:paraId="7691AB9B">
            <w:pPr>
              <w:spacing w:before="63" w:line="189" w:lineRule="auto"/>
              <w:ind w:left="31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48.00</w:t>
            </w:r>
          </w:p>
        </w:tc>
        <w:tc>
          <w:tcPr>
            <w:tcW w:w="1377" w:type="dxa"/>
            <w:vAlign w:val="top"/>
          </w:tcPr>
          <w:p w14:paraId="4DDD091E">
            <w:pPr>
              <w:spacing w:line="297" w:lineRule="auto"/>
              <w:rPr>
                <w:rFonts w:ascii="Arial"/>
                <w:sz w:val="21"/>
              </w:rPr>
            </w:pPr>
          </w:p>
          <w:p w14:paraId="74349F10">
            <w:pPr>
              <w:spacing w:before="63" w:line="189" w:lineRule="auto"/>
              <w:ind w:left="39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0.08%</w:t>
            </w:r>
          </w:p>
        </w:tc>
        <w:tc>
          <w:tcPr>
            <w:tcW w:w="1381" w:type="dxa"/>
            <w:vAlign w:val="top"/>
          </w:tcPr>
          <w:p w14:paraId="2F738737">
            <w:pPr>
              <w:spacing w:line="297" w:lineRule="auto"/>
              <w:rPr>
                <w:rFonts w:ascii="Arial"/>
                <w:sz w:val="21"/>
              </w:rPr>
            </w:pPr>
          </w:p>
          <w:p w14:paraId="2EB5756A">
            <w:pPr>
              <w:spacing w:before="63" w:line="189" w:lineRule="auto"/>
              <w:ind w:left="44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20.00</w:t>
            </w:r>
          </w:p>
        </w:tc>
        <w:tc>
          <w:tcPr>
            <w:tcW w:w="1381" w:type="dxa"/>
            <w:vAlign w:val="top"/>
          </w:tcPr>
          <w:p w14:paraId="2A8A5D14">
            <w:pPr>
              <w:spacing w:line="297" w:lineRule="auto"/>
              <w:rPr>
                <w:rFonts w:ascii="Arial"/>
                <w:sz w:val="21"/>
              </w:rPr>
            </w:pPr>
          </w:p>
          <w:p w14:paraId="643F4244">
            <w:pPr>
              <w:spacing w:before="63" w:line="189" w:lineRule="auto"/>
              <w:ind w:left="44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20.00</w:t>
            </w:r>
          </w:p>
        </w:tc>
        <w:tc>
          <w:tcPr>
            <w:tcW w:w="1728" w:type="dxa"/>
            <w:vAlign w:val="top"/>
          </w:tcPr>
          <w:p w14:paraId="35DCACD5">
            <w:pPr>
              <w:spacing w:line="297" w:lineRule="auto"/>
              <w:rPr>
                <w:rFonts w:ascii="Arial"/>
                <w:sz w:val="21"/>
              </w:rPr>
            </w:pPr>
          </w:p>
          <w:p w14:paraId="4BD446FD">
            <w:pPr>
              <w:spacing w:before="63" w:line="189" w:lineRule="auto"/>
              <w:ind w:left="68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8.00</w:t>
            </w:r>
          </w:p>
        </w:tc>
      </w:tr>
      <w:tr w14:paraId="6F034E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73" w:type="dxa"/>
            <w:vAlign w:val="top"/>
          </w:tcPr>
          <w:p w14:paraId="65546D6E">
            <w:pPr>
              <w:spacing w:before="154" w:line="175" w:lineRule="auto"/>
              <w:ind w:left="24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sz w:val="22"/>
                <w:szCs w:val="22"/>
              </w:rPr>
              <w:t>二</w:t>
            </w:r>
          </w:p>
        </w:tc>
        <w:tc>
          <w:tcPr>
            <w:tcW w:w="1405" w:type="dxa"/>
            <w:vAlign w:val="top"/>
          </w:tcPr>
          <w:p w14:paraId="04E5A0FC">
            <w:pPr>
              <w:spacing w:before="108" w:line="224" w:lineRule="auto"/>
              <w:ind w:left="28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2"/>
                <w:szCs w:val="22"/>
              </w:rPr>
              <w:t>资金筹措</w:t>
            </w:r>
          </w:p>
        </w:tc>
        <w:tc>
          <w:tcPr>
            <w:tcW w:w="1115" w:type="dxa"/>
            <w:vAlign w:val="top"/>
          </w:tcPr>
          <w:p w14:paraId="755FE136">
            <w:pPr>
              <w:spacing w:before="147" w:line="189" w:lineRule="auto"/>
              <w:ind w:left="14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61000.00</w:t>
            </w:r>
          </w:p>
        </w:tc>
        <w:tc>
          <w:tcPr>
            <w:tcW w:w="1377" w:type="dxa"/>
            <w:vAlign w:val="top"/>
          </w:tcPr>
          <w:p w14:paraId="24FF6655">
            <w:pPr>
              <w:spacing w:before="147" w:line="189" w:lineRule="auto"/>
              <w:ind w:left="28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100.00%</w:t>
            </w:r>
          </w:p>
        </w:tc>
        <w:tc>
          <w:tcPr>
            <w:tcW w:w="1381" w:type="dxa"/>
            <w:vAlign w:val="top"/>
          </w:tcPr>
          <w:p w14:paraId="3392598E">
            <w:pPr>
              <w:spacing w:before="147" w:line="189" w:lineRule="auto"/>
              <w:ind w:left="28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25000.00</w:t>
            </w:r>
          </w:p>
        </w:tc>
        <w:tc>
          <w:tcPr>
            <w:tcW w:w="1381" w:type="dxa"/>
            <w:vAlign w:val="top"/>
          </w:tcPr>
          <w:p w14:paraId="2ABA6606">
            <w:pPr>
              <w:spacing w:before="147" w:line="189" w:lineRule="auto"/>
              <w:ind w:left="28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25000.00</w:t>
            </w:r>
          </w:p>
        </w:tc>
        <w:tc>
          <w:tcPr>
            <w:tcW w:w="1728" w:type="dxa"/>
            <w:vAlign w:val="top"/>
          </w:tcPr>
          <w:p w14:paraId="0EACEC58">
            <w:pPr>
              <w:spacing w:before="147" w:line="189" w:lineRule="auto"/>
              <w:ind w:left="46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11000.00</w:t>
            </w:r>
          </w:p>
        </w:tc>
      </w:tr>
      <w:tr w14:paraId="3A5A50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73" w:type="dxa"/>
            <w:vAlign w:val="top"/>
          </w:tcPr>
          <w:p w14:paraId="2445E949">
            <w:pPr>
              <w:pStyle w:val="6"/>
              <w:spacing w:before="111" w:line="299" w:lineRule="exact"/>
              <w:ind w:left="302"/>
              <w:rPr>
                <w:sz w:val="22"/>
                <w:szCs w:val="22"/>
              </w:rPr>
            </w:pPr>
            <w:r>
              <w:rPr>
                <w:position w:val="1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top"/>
          </w:tcPr>
          <w:p w14:paraId="606A6DFC">
            <w:pPr>
              <w:pStyle w:val="6"/>
              <w:spacing w:before="111" w:line="222" w:lineRule="auto"/>
              <w:ind w:left="273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企业自筹</w:t>
            </w:r>
          </w:p>
        </w:tc>
        <w:tc>
          <w:tcPr>
            <w:tcW w:w="1115" w:type="dxa"/>
            <w:vAlign w:val="top"/>
          </w:tcPr>
          <w:p w14:paraId="348A2D61">
            <w:pPr>
              <w:spacing w:before="146" w:line="189" w:lineRule="auto"/>
              <w:ind w:left="15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13000.00</w:t>
            </w:r>
          </w:p>
        </w:tc>
        <w:tc>
          <w:tcPr>
            <w:tcW w:w="1377" w:type="dxa"/>
            <w:vAlign w:val="top"/>
          </w:tcPr>
          <w:p w14:paraId="6D86A270">
            <w:pPr>
              <w:spacing w:before="147" w:line="189" w:lineRule="auto"/>
              <w:ind w:left="33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21.31%</w:t>
            </w:r>
          </w:p>
        </w:tc>
        <w:tc>
          <w:tcPr>
            <w:tcW w:w="1381" w:type="dxa"/>
            <w:vAlign w:val="top"/>
          </w:tcPr>
          <w:p w14:paraId="3749A802">
            <w:pPr>
              <w:pStyle w:val="6"/>
              <w:spacing w:before="111" w:line="292" w:lineRule="exact"/>
              <w:ind w:left="316"/>
              <w:rPr>
                <w:sz w:val="22"/>
                <w:szCs w:val="22"/>
              </w:rPr>
            </w:pPr>
            <w:r>
              <w:rPr>
                <w:color w:val="161616"/>
                <w:spacing w:val="-2"/>
                <w:position w:val="1"/>
                <w:sz w:val="22"/>
                <w:szCs w:val="22"/>
              </w:rPr>
              <w:t>5000.00</w:t>
            </w:r>
          </w:p>
        </w:tc>
        <w:tc>
          <w:tcPr>
            <w:tcW w:w="1381" w:type="dxa"/>
            <w:vAlign w:val="top"/>
          </w:tcPr>
          <w:p w14:paraId="7703B2CB">
            <w:pPr>
              <w:pStyle w:val="6"/>
              <w:spacing w:before="111" w:line="292" w:lineRule="exact"/>
              <w:ind w:left="317"/>
              <w:rPr>
                <w:sz w:val="22"/>
                <w:szCs w:val="22"/>
              </w:rPr>
            </w:pPr>
            <w:r>
              <w:rPr>
                <w:color w:val="161616"/>
                <w:spacing w:val="-2"/>
                <w:position w:val="1"/>
                <w:sz w:val="22"/>
                <w:szCs w:val="22"/>
              </w:rPr>
              <w:t>5000.00</w:t>
            </w:r>
          </w:p>
        </w:tc>
        <w:tc>
          <w:tcPr>
            <w:tcW w:w="1728" w:type="dxa"/>
            <w:vAlign w:val="top"/>
          </w:tcPr>
          <w:p w14:paraId="24E7E6AE">
            <w:pPr>
              <w:pStyle w:val="6"/>
              <w:spacing w:before="111" w:line="292" w:lineRule="exact"/>
              <w:ind w:left="489"/>
              <w:rPr>
                <w:sz w:val="22"/>
                <w:szCs w:val="22"/>
              </w:rPr>
            </w:pPr>
            <w:r>
              <w:rPr>
                <w:color w:val="161616"/>
                <w:spacing w:val="-2"/>
                <w:position w:val="1"/>
                <w:sz w:val="22"/>
                <w:szCs w:val="22"/>
              </w:rPr>
              <w:t>3000.00</w:t>
            </w:r>
          </w:p>
        </w:tc>
      </w:tr>
      <w:tr w14:paraId="3F284A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673" w:type="dxa"/>
            <w:vAlign w:val="top"/>
          </w:tcPr>
          <w:p w14:paraId="748310C8">
            <w:pPr>
              <w:pStyle w:val="6"/>
              <w:spacing w:before="111" w:line="299" w:lineRule="exact"/>
              <w:ind w:left="288"/>
              <w:rPr>
                <w:sz w:val="22"/>
                <w:szCs w:val="22"/>
              </w:rPr>
            </w:pPr>
            <w:r>
              <w:rPr>
                <w:position w:val="1"/>
                <w:sz w:val="22"/>
                <w:szCs w:val="22"/>
              </w:rPr>
              <w:t>2</w:t>
            </w:r>
          </w:p>
        </w:tc>
        <w:tc>
          <w:tcPr>
            <w:tcW w:w="1405" w:type="dxa"/>
            <w:vAlign w:val="top"/>
          </w:tcPr>
          <w:p w14:paraId="7560D705">
            <w:pPr>
              <w:pStyle w:val="6"/>
              <w:spacing w:before="110" w:line="220" w:lineRule="auto"/>
              <w:ind w:left="275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专项债券</w:t>
            </w:r>
          </w:p>
        </w:tc>
        <w:tc>
          <w:tcPr>
            <w:tcW w:w="1115" w:type="dxa"/>
            <w:vAlign w:val="top"/>
          </w:tcPr>
          <w:p w14:paraId="2AECBA81">
            <w:pPr>
              <w:spacing w:before="149" w:line="189" w:lineRule="auto"/>
              <w:ind w:left="14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48000.00</w:t>
            </w:r>
          </w:p>
        </w:tc>
        <w:tc>
          <w:tcPr>
            <w:tcW w:w="1377" w:type="dxa"/>
            <w:vAlign w:val="top"/>
          </w:tcPr>
          <w:p w14:paraId="70E433AF">
            <w:pPr>
              <w:spacing w:before="149" w:line="189" w:lineRule="auto"/>
              <w:ind w:left="33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78.69%</w:t>
            </w:r>
          </w:p>
        </w:tc>
        <w:tc>
          <w:tcPr>
            <w:tcW w:w="1381" w:type="dxa"/>
            <w:vAlign w:val="top"/>
          </w:tcPr>
          <w:p w14:paraId="40F931F9">
            <w:pPr>
              <w:pStyle w:val="6"/>
              <w:spacing w:before="111" w:line="292" w:lineRule="exact"/>
              <w:ind w:left="259"/>
              <w:rPr>
                <w:sz w:val="22"/>
                <w:szCs w:val="22"/>
              </w:rPr>
            </w:pPr>
            <w:r>
              <w:rPr>
                <w:color w:val="161616"/>
                <w:spacing w:val="-2"/>
                <w:position w:val="1"/>
                <w:sz w:val="22"/>
                <w:szCs w:val="22"/>
              </w:rPr>
              <w:t>20000.00</w:t>
            </w:r>
          </w:p>
        </w:tc>
        <w:tc>
          <w:tcPr>
            <w:tcW w:w="1381" w:type="dxa"/>
            <w:vAlign w:val="top"/>
          </w:tcPr>
          <w:p w14:paraId="6EC98035">
            <w:pPr>
              <w:pStyle w:val="6"/>
              <w:spacing w:before="111" w:line="292" w:lineRule="exact"/>
              <w:ind w:left="260"/>
              <w:rPr>
                <w:sz w:val="22"/>
                <w:szCs w:val="22"/>
              </w:rPr>
            </w:pPr>
            <w:r>
              <w:rPr>
                <w:color w:val="161616"/>
                <w:spacing w:val="-2"/>
                <w:position w:val="1"/>
                <w:sz w:val="22"/>
                <w:szCs w:val="22"/>
              </w:rPr>
              <w:t>20000.00</w:t>
            </w:r>
          </w:p>
        </w:tc>
        <w:tc>
          <w:tcPr>
            <w:tcW w:w="1728" w:type="dxa"/>
            <w:vAlign w:val="top"/>
          </w:tcPr>
          <w:p w14:paraId="70877808">
            <w:pPr>
              <w:pStyle w:val="6"/>
              <w:spacing w:before="111" w:line="292" w:lineRule="exact"/>
              <w:ind w:left="486"/>
              <w:rPr>
                <w:sz w:val="22"/>
                <w:szCs w:val="22"/>
              </w:rPr>
            </w:pPr>
            <w:r>
              <w:rPr>
                <w:color w:val="161616"/>
                <w:spacing w:val="-2"/>
                <w:position w:val="1"/>
                <w:sz w:val="22"/>
                <w:szCs w:val="22"/>
              </w:rPr>
              <w:t>8000.00</w:t>
            </w:r>
          </w:p>
        </w:tc>
      </w:tr>
    </w:tbl>
    <w:p w14:paraId="2FB304AA">
      <w:pPr>
        <w:spacing w:before="175" w:line="227" w:lineRule="auto"/>
        <w:ind w:left="784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四、项目预期收益、成本及融资平衡情况</w:t>
      </w:r>
    </w:p>
    <w:p w14:paraId="27E85A40">
      <w:pPr>
        <w:spacing w:before="178" w:line="225" w:lineRule="auto"/>
        <w:ind w:left="758"/>
        <w:outlineLvl w:val="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6"/>
          <w:sz w:val="31"/>
          <w:szCs w:val="31"/>
        </w:rPr>
        <w:t>（一）预期收益</w:t>
      </w:r>
    </w:p>
    <w:p w14:paraId="74FC70C1">
      <w:pPr>
        <w:spacing w:before="184" w:line="223" w:lineRule="auto"/>
        <w:ind w:left="786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3"/>
          <w:sz w:val="31"/>
          <w:szCs w:val="31"/>
        </w:rPr>
        <w:t>1.</w:t>
      </w:r>
      <w:r>
        <w:rPr>
          <w:rFonts w:ascii="仿宋" w:hAnsi="仿宋" w:eastAsia="仿宋" w:cs="仿宋"/>
          <w:spacing w:val="2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31"/>
          <w:szCs w:val="31"/>
        </w:rPr>
        <w:t>项目收入</w:t>
      </w:r>
    </w:p>
    <w:p w14:paraId="023FE5EF">
      <w:pPr>
        <w:pStyle w:val="2"/>
        <w:spacing w:before="185" w:line="332" w:lineRule="auto"/>
        <w:ind w:left="162" w:right="109" w:firstLine="603"/>
      </w:pPr>
      <w:r>
        <w:rPr>
          <w:spacing w:val="5"/>
        </w:rPr>
        <w:t>本项目收入来源于厂房出租收入、停车场收费收入、智能充</w:t>
      </w:r>
      <w:r>
        <w:rPr>
          <w:spacing w:val="2"/>
        </w:rPr>
        <w:t>电桩服务费收入。</w:t>
      </w:r>
    </w:p>
    <w:p w14:paraId="68CBDCA1">
      <w:pPr>
        <w:pStyle w:val="2"/>
        <w:spacing w:before="5" w:line="333" w:lineRule="auto"/>
        <w:ind w:left="148" w:right="111" w:firstLine="611"/>
      </w:pPr>
      <w:r>
        <w:rPr>
          <w:spacing w:val="11"/>
        </w:rPr>
        <w:t>债券存续期项目预计总收入</w:t>
      </w:r>
      <w:r>
        <w:rPr>
          <w:spacing w:val="-42"/>
        </w:rPr>
        <w:t xml:space="preserve"> </w:t>
      </w:r>
      <w:r>
        <w:rPr>
          <w:spacing w:val="11"/>
        </w:rPr>
        <w:t>205353.85 万元，全部为专项</w:t>
      </w:r>
      <w:r>
        <w:rPr>
          <w:spacing w:val="-6"/>
        </w:rPr>
        <w:t>收入。</w:t>
      </w:r>
    </w:p>
    <w:p w14:paraId="41FD18DB">
      <w:pPr>
        <w:spacing w:before="1" w:line="222" w:lineRule="auto"/>
        <w:ind w:left="876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2.</w:t>
      </w:r>
      <w:r>
        <w:rPr>
          <w:rFonts w:ascii="仿宋" w:hAnsi="仿宋" w:eastAsia="仿宋" w:cs="仿宋"/>
          <w:spacing w:val="24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项目成本</w:t>
      </w:r>
    </w:p>
    <w:p w14:paraId="4A465DC8">
      <w:pPr>
        <w:pStyle w:val="2"/>
        <w:spacing w:before="189" w:line="332" w:lineRule="auto"/>
        <w:ind w:left="129" w:right="199" w:firstLine="636"/>
      </w:pPr>
      <w:r>
        <w:rPr>
          <w:spacing w:val="4"/>
        </w:rPr>
        <w:t>本项目经营成本</w:t>
      </w:r>
      <w:r>
        <w:rPr>
          <w:spacing w:val="-46"/>
        </w:rPr>
        <w:t xml:space="preserve"> </w:t>
      </w:r>
      <w:r>
        <w:rPr>
          <w:spacing w:val="4"/>
        </w:rPr>
        <w:t>21233.60 万元；折旧费</w:t>
      </w:r>
      <w:r>
        <w:rPr>
          <w:spacing w:val="-45"/>
        </w:rPr>
        <w:t xml:space="preserve"> </w:t>
      </w:r>
      <w:r>
        <w:rPr>
          <w:spacing w:val="4"/>
        </w:rPr>
        <w:t>23638.</w:t>
      </w:r>
      <w:r>
        <w:rPr>
          <w:spacing w:val="3"/>
        </w:rPr>
        <w:t>63 万元；</w:t>
      </w:r>
      <w:r>
        <w:rPr>
          <w:spacing w:val="4"/>
        </w:rPr>
        <w:t>财务费用</w:t>
      </w:r>
      <w:r>
        <w:rPr>
          <w:spacing w:val="-31"/>
        </w:rPr>
        <w:t xml:space="preserve"> </w:t>
      </w:r>
      <w:r>
        <w:rPr>
          <w:spacing w:val="4"/>
        </w:rPr>
        <w:t>27904.00 万元，总成本费用</w:t>
      </w:r>
      <w:r>
        <w:rPr>
          <w:spacing w:val="-40"/>
        </w:rPr>
        <w:t xml:space="preserve"> </w:t>
      </w:r>
      <w:r>
        <w:rPr>
          <w:spacing w:val="4"/>
        </w:rPr>
        <w:t>107086.61 万元。</w:t>
      </w:r>
    </w:p>
    <w:p w14:paraId="72FA3976">
      <w:pPr>
        <w:spacing w:before="2" w:line="219" w:lineRule="auto"/>
        <w:ind w:left="758"/>
        <w:outlineLvl w:val="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（二）资金测算平衡情况</w:t>
      </w:r>
    </w:p>
    <w:p w14:paraId="0508772A">
      <w:pPr>
        <w:pStyle w:val="2"/>
        <w:spacing w:before="198" w:line="333" w:lineRule="auto"/>
        <w:ind w:left="132" w:right="109" w:firstLine="635"/>
        <w:jc w:val="both"/>
      </w:pPr>
      <w:r>
        <w:rPr>
          <w:spacing w:val="5"/>
        </w:rPr>
        <w:t>若项目在满足上述资金筹集计划、项目实施计划、</w:t>
      </w:r>
      <w:r>
        <w:rPr>
          <w:spacing w:val="4"/>
        </w:rPr>
        <w:t>资金使用</w:t>
      </w:r>
      <w:r>
        <w:rPr>
          <w:spacing w:val="5"/>
        </w:rPr>
        <w:t>计划及预期收益的假设前提下，政府专项债全部到期时，在偿还</w:t>
      </w:r>
      <w:r>
        <w:rPr>
          <w:spacing w:val="6"/>
        </w:rPr>
        <w:t>当年到期本息后，仍有</w:t>
      </w:r>
      <w:r>
        <w:rPr>
          <w:spacing w:val="-50"/>
        </w:rPr>
        <w:t xml:space="preserve"> </w:t>
      </w:r>
      <w:r>
        <w:rPr>
          <w:spacing w:val="6"/>
        </w:rPr>
        <w:t>49339.07 万元的累计现金结余，不存在</w:t>
      </w:r>
      <w:r>
        <w:rPr>
          <w:spacing w:val="8"/>
        </w:rPr>
        <w:t>资金缺</w:t>
      </w:r>
      <w:r>
        <w:rPr>
          <w:spacing w:val="-78"/>
        </w:rPr>
        <w:t xml:space="preserve"> </w:t>
      </w:r>
      <w:r>
        <w:rPr>
          <w:spacing w:val="8"/>
        </w:rPr>
        <w:t>口，项目在预测期内可实现息前净现金流</w:t>
      </w:r>
      <w:r>
        <w:rPr>
          <w:spacing w:val="-38"/>
        </w:rPr>
        <w:t xml:space="preserve"> </w:t>
      </w:r>
      <w:r>
        <w:rPr>
          <w:spacing w:val="8"/>
        </w:rPr>
        <w:t>125243.05 万</w:t>
      </w:r>
      <w:r>
        <w:rPr>
          <w:spacing w:val="6"/>
        </w:rPr>
        <w:t>元，政府专项债券到期本息合计</w:t>
      </w:r>
      <w:r>
        <w:rPr>
          <w:spacing w:val="-48"/>
        </w:rPr>
        <w:t xml:space="preserve"> </w:t>
      </w:r>
      <w:r>
        <w:rPr>
          <w:spacing w:val="6"/>
        </w:rPr>
        <w:t>78346.67 万元，本项目收</w:t>
      </w:r>
      <w:r>
        <w:rPr>
          <w:spacing w:val="5"/>
        </w:rPr>
        <w:t>入覆</w:t>
      </w:r>
      <w:r>
        <w:rPr>
          <w:spacing w:val="1"/>
        </w:rPr>
        <w:t>盖倍数为</w:t>
      </w:r>
      <w:r>
        <w:rPr>
          <w:spacing w:val="-34"/>
        </w:rPr>
        <w:t xml:space="preserve"> </w:t>
      </w:r>
      <w:r>
        <w:rPr>
          <w:spacing w:val="1"/>
        </w:rPr>
        <w:t>1.60 倍。</w:t>
      </w:r>
    </w:p>
    <w:p w14:paraId="6BB96F2B">
      <w:pPr>
        <w:spacing w:line="333" w:lineRule="auto"/>
        <w:sectPr>
          <w:footerReference r:id="rId9" w:type="default"/>
          <w:pgSz w:w="11906" w:h="16839"/>
          <w:pgMar w:top="1431" w:right="1309" w:bottom="1315" w:left="1531" w:header="0" w:footer="950" w:gutter="0"/>
          <w:cols w:space="720" w:num="1"/>
        </w:sectPr>
      </w:pPr>
    </w:p>
    <w:p w14:paraId="141A246C">
      <w:pPr>
        <w:spacing w:line="328" w:lineRule="auto"/>
        <w:rPr>
          <w:rFonts w:ascii="Arial"/>
          <w:sz w:val="21"/>
        </w:rPr>
      </w:pPr>
    </w:p>
    <w:p w14:paraId="40A5FCF9">
      <w:pPr>
        <w:spacing w:line="329" w:lineRule="auto"/>
        <w:rPr>
          <w:rFonts w:ascii="Arial"/>
          <w:sz w:val="21"/>
        </w:rPr>
      </w:pPr>
    </w:p>
    <w:p w14:paraId="4E52FD56">
      <w:pPr>
        <w:spacing w:before="65" w:line="223" w:lineRule="auto"/>
        <w:ind w:left="6497"/>
        <w:rPr>
          <w:rFonts w:ascii="Calibri" w:hAnsi="Calibri" w:eastAsia="Calibri" w:cs="Calibri"/>
          <w:sz w:val="20"/>
          <w:szCs w:val="20"/>
        </w:rPr>
      </w:pP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资金测算平衡表</w:t>
      </w:r>
      <w:r>
        <w:rPr>
          <w:rFonts w:ascii="Calibri" w:hAnsi="Calibri" w:eastAsia="Calibri" w:cs="Calibri"/>
          <w:b/>
          <w:bCs/>
          <w:spacing w:val="6"/>
          <w:sz w:val="20"/>
          <w:szCs w:val="20"/>
        </w:rPr>
        <w:t>(</w:t>
      </w: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单位：万元</w:t>
      </w:r>
      <w:r>
        <w:rPr>
          <w:rFonts w:ascii="Calibri" w:hAnsi="Calibri" w:eastAsia="Calibri" w:cs="Calibri"/>
          <w:b/>
          <w:bCs/>
          <w:spacing w:val="6"/>
          <w:sz w:val="20"/>
          <w:szCs w:val="20"/>
        </w:rPr>
        <w:t>)</w:t>
      </w:r>
    </w:p>
    <w:p w14:paraId="735D227B">
      <w:pPr>
        <w:spacing w:before="27"/>
      </w:pPr>
    </w:p>
    <w:tbl>
      <w:tblPr>
        <w:tblStyle w:val="5"/>
        <w:tblW w:w="156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2680"/>
        <w:gridCol w:w="1150"/>
        <w:gridCol w:w="1040"/>
        <w:gridCol w:w="1041"/>
        <w:gridCol w:w="1040"/>
        <w:gridCol w:w="931"/>
        <w:gridCol w:w="931"/>
        <w:gridCol w:w="931"/>
        <w:gridCol w:w="1041"/>
        <w:gridCol w:w="1041"/>
        <w:gridCol w:w="1041"/>
        <w:gridCol w:w="1041"/>
        <w:gridCol w:w="1045"/>
      </w:tblGrid>
      <w:tr w14:paraId="1C7903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62" w:type="dxa"/>
            <w:vMerge w:val="restart"/>
            <w:tcBorders>
              <w:bottom w:val="nil"/>
            </w:tcBorders>
            <w:vAlign w:val="top"/>
          </w:tcPr>
          <w:p w14:paraId="7AED6C80">
            <w:pPr>
              <w:spacing w:line="252" w:lineRule="auto"/>
              <w:rPr>
                <w:rFonts w:ascii="Arial"/>
                <w:sz w:val="21"/>
              </w:rPr>
            </w:pPr>
          </w:p>
          <w:p w14:paraId="2FEFE274">
            <w:pPr>
              <w:spacing w:line="252" w:lineRule="auto"/>
              <w:rPr>
                <w:rFonts w:ascii="Arial"/>
                <w:sz w:val="21"/>
              </w:rPr>
            </w:pPr>
          </w:p>
          <w:p w14:paraId="56ABC55B">
            <w:pPr>
              <w:spacing w:line="253" w:lineRule="auto"/>
              <w:rPr>
                <w:rFonts w:ascii="Arial"/>
                <w:sz w:val="21"/>
              </w:rPr>
            </w:pPr>
          </w:p>
          <w:p w14:paraId="5C57C4C5">
            <w:pPr>
              <w:spacing w:before="71" w:line="223" w:lineRule="auto"/>
              <w:ind w:left="12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9"/>
                <w:sz w:val="22"/>
                <w:szCs w:val="22"/>
              </w:rPr>
              <w:t>序号</w:t>
            </w:r>
          </w:p>
        </w:tc>
        <w:tc>
          <w:tcPr>
            <w:tcW w:w="2680" w:type="dxa"/>
            <w:vMerge w:val="restart"/>
            <w:tcBorders>
              <w:bottom w:val="nil"/>
            </w:tcBorders>
            <w:vAlign w:val="top"/>
          </w:tcPr>
          <w:p w14:paraId="655F0027">
            <w:pPr>
              <w:spacing w:line="252" w:lineRule="auto"/>
              <w:rPr>
                <w:rFonts w:ascii="Arial"/>
                <w:sz w:val="21"/>
              </w:rPr>
            </w:pPr>
          </w:p>
          <w:p w14:paraId="399DAEE8">
            <w:pPr>
              <w:spacing w:line="252" w:lineRule="auto"/>
              <w:rPr>
                <w:rFonts w:ascii="Arial"/>
                <w:sz w:val="21"/>
              </w:rPr>
            </w:pPr>
          </w:p>
          <w:p w14:paraId="2B344315">
            <w:pPr>
              <w:spacing w:line="252" w:lineRule="auto"/>
              <w:rPr>
                <w:rFonts w:ascii="Arial"/>
                <w:sz w:val="21"/>
              </w:rPr>
            </w:pPr>
          </w:p>
          <w:p w14:paraId="5ECD85D3">
            <w:pPr>
              <w:spacing w:before="72" w:line="225" w:lineRule="auto"/>
              <w:ind w:left="1129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10"/>
                <w:sz w:val="22"/>
                <w:szCs w:val="22"/>
              </w:rPr>
              <w:t>项目</w:t>
            </w:r>
          </w:p>
        </w:tc>
        <w:tc>
          <w:tcPr>
            <w:tcW w:w="1150" w:type="dxa"/>
            <w:vMerge w:val="restart"/>
            <w:tcBorders>
              <w:bottom w:val="nil"/>
            </w:tcBorders>
            <w:vAlign w:val="top"/>
          </w:tcPr>
          <w:p w14:paraId="366EA3BD">
            <w:pPr>
              <w:spacing w:line="252" w:lineRule="auto"/>
              <w:rPr>
                <w:rFonts w:ascii="Arial"/>
                <w:sz w:val="21"/>
              </w:rPr>
            </w:pPr>
          </w:p>
          <w:p w14:paraId="1CE710BF">
            <w:pPr>
              <w:spacing w:line="252" w:lineRule="auto"/>
              <w:rPr>
                <w:rFonts w:ascii="Arial"/>
                <w:sz w:val="21"/>
              </w:rPr>
            </w:pPr>
          </w:p>
          <w:p w14:paraId="21D4AF1B">
            <w:pPr>
              <w:spacing w:line="253" w:lineRule="auto"/>
              <w:rPr>
                <w:rFonts w:ascii="Arial"/>
                <w:sz w:val="21"/>
              </w:rPr>
            </w:pPr>
          </w:p>
          <w:p w14:paraId="369F1086">
            <w:pPr>
              <w:spacing w:before="71" w:line="223" w:lineRule="auto"/>
              <w:ind w:left="427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12"/>
                <w:sz w:val="22"/>
                <w:szCs w:val="22"/>
              </w:rPr>
              <w:t>合计</w:t>
            </w:r>
          </w:p>
        </w:tc>
        <w:tc>
          <w:tcPr>
            <w:tcW w:w="3121" w:type="dxa"/>
            <w:gridSpan w:val="3"/>
            <w:vAlign w:val="top"/>
          </w:tcPr>
          <w:p w14:paraId="7FB3D91F">
            <w:pPr>
              <w:spacing w:before="173" w:line="224" w:lineRule="auto"/>
              <w:ind w:left="124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7"/>
                <w:sz w:val="22"/>
                <w:szCs w:val="22"/>
              </w:rPr>
              <w:t>建设期</w:t>
            </w:r>
          </w:p>
        </w:tc>
        <w:tc>
          <w:tcPr>
            <w:tcW w:w="8002" w:type="dxa"/>
            <w:gridSpan w:val="8"/>
            <w:tcBorders>
              <w:right w:val="nil"/>
            </w:tcBorders>
            <w:vAlign w:val="top"/>
          </w:tcPr>
          <w:p w14:paraId="0E09B47B">
            <w:pPr>
              <w:spacing w:before="173" w:line="221" w:lineRule="auto"/>
              <w:ind w:left="367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运营期</w:t>
            </w:r>
          </w:p>
        </w:tc>
      </w:tr>
      <w:tr w14:paraId="592716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9" w:hRule="atLeast"/>
        </w:trPr>
        <w:tc>
          <w:tcPr>
            <w:tcW w:w="662" w:type="dxa"/>
            <w:vMerge w:val="continue"/>
            <w:tcBorders>
              <w:top w:val="nil"/>
            </w:tcBorders>
            <w:vAlign w:val="top"/>
          </w:tcPr>
          <w:p w14:paraId="07A1FE15">
            <w:pPr>
              <w:rPr>
                <w:rFonts w:ascii="Arial"/>
                <w:sz w:val="21"/>
              </w:rPr>
            </w:pPr>
          </w:p>
        </w:tc>
        <w:tc>
          <w:tcPr>
            <w:tcW w:w="2680" w:type="dxa"/>
            <w:vMerge w:val="continue"/>
            <w:tcBorders>
              <w:top w:val="nil"/>
            </w:tcBorders>
            <w:vAlign w:val="top"/>
          </w:tcPr>
          <w:p w14:paraId="44B177C0"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Merge w:val="continue"/>
            <w:tcBorders>
              <w:top w:val="nil"/>
            </w:tcBorders>
            <w:vAlign w:val="top"/>
          </w:tcPr>
          <w:p w14:paraId="4CA2E321">
            <w:pPr>
              <w:rPr>
                <w:rFonts w:ascii="Arial"/>
                <w:sz w:val="21"/>
              </w:rPr>
            </w:pPr>
          </w:p>
        </w:tc>
        <w:tc>
          <w:tcPr>
            <w:tcW w:w="1040" w:type="dxa"/>
            <w:vAlign w:val="top"/>
          </w:tcPr>
          <w:p w14:paraId="06FC82A7">
            <w:pPr>
              <w:spacing w:before="108" w:line="220" w:lineRule="auto"/>
              <w:ind w:left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2025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  <w:p w14:paraId="0411B6FB">
            <w:pPr>
              <w:spacing w:before="173" w:line="317" w:lineRule="auto"/>
              <w:ind w:left="421" w:right="177" w:hanging="23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  <w:sz w:val="22"/>
                <w:szCs w:val="22"/>
              </w:rPr>
              <w:t>8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4"/>
                <w:w w:val="10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5"/>
                <w:sz w:val="22"/>
                <w:szCs w:val="22"/>
              </w:rPr>
              <w:t>-12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2"/>
                <w:szCs w:val="22"/>
              </w:rPr>
              <w:t>月</w:t>
            </w:r>
          </w:p>
        </w:tc>
        <w:tc>
          <w:tcPr>
            <w:tcW w:w="1041" w:type="dxa"/>
            <w:vAlign w:val="top"/>
          </w:tcPr>
          <w:p w14:paraId="7521F89C">
            <w:pPr>
              <w:spacing w:line="468" w:lineRule="auto"/>
              <w:rPr>
                <w:rFonts w:ascii="Arial"/>
                <w:sz w:val="21"/>
              </w:rPr>
            </w:pPr>
          </w:p>
          <w:p w14:paraId="3A802986">
            <w:pPr>
              <w:spacing w:before="71" w:line="220" w:lineRule="auto"/>
              <w:ind w:left="1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2026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1040" w:type="dxa"/>
            <w:vAlign w:val="top"/>
          </w:tcPr>
          <w:p w14:paraId="3954DBF0">
            <w:pPr>
              <w:spacing w:line="251" w:lineRule="auto"/>
              <w:rPr>
                <w:rFonts w:ascii="Arial"/>
                <w:sz w:val="21"/>
              </w:rPr>
            </w:pPr>
          </w:p>
          <w:p w14:paraId="28B79539">
            <w:pPr>
              <w:spacing w:before="71" w:line="220" w:lineRule="auto"/>
              <w:ind w:left="1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2027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  <w:p w14:paraId="37E34ABE">
            <w:pPr>
              <w:spacing w:before="174" w:line="220" w:lineRule="auto"/>
              <w:ind w:left="12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  <w:sz w:val="22"/>
                <w:szCs w:val="22"/>
              </w:rPr>
              <w:t xml:space="preserve">1 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5"/>
                <w:sz w:val="22"/>
                <w:szCs w:val="22"/>
              </w:rPr>
              <w:t>-7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月</w:t>
            </w:r>
          </w:p>
        </w:tc>
        <w:tc>
          <w:tcPr>
            <w:tcW w:w="931" w:type="dxa"/>
            <w:vAlign w:val="top"/>
          </w:tcPr>
          <w:p w14:paraId="7DC1E0A0">
            <w:pPr>
              <w:spacing w:before="108" w:line="220" w:lineRule="auto"/>
              <w:ind w:left="1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2027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  <w:p w14:paraId="77AF4CB4">
            <w:pPr>
              <w:spacing w:before="173" w:line="317" w:lineRule="auto"/>
              <w:ind w:left="368" w:right="139" w:hanging="25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  <w:sz w:val="22"/>
                <w:szCs w:val="22"/>
              </w:rPr>
              <w:t>8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4"/>
                <w:w w:val="10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5"/>
                <w:sz w:val="22"/>
                <w:szCs w:val="22"/>
              </w:rPr>
              <w:t>-12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2"/>
                <w:szCs w:val="22"/>
              </w:rPr>
              <w:t>月</w:t>
            </w:r>
          </w:p>
        </w:tc>
        <w:tc>
          <w:tcPr>
            <w:tcW w:w="931" w:type="dxa"/>
            <w:vAlign w:val="top"/>
          </w:tcPr>
          <w:p w14:paraId="65BF72BA">
            <w:pPr>
              <w:spacing w:line="468" w:lineRule="auto"/>
              <w:rPr>
                <w:rFonts w:ascii="Arial"/>
                <w:sz w:val="21"/>
              </w:rPr>
            </w:pPr>
          </w:p>
          <w:p w14:paraId="6F2236F5">
            <w:pPr>
              <w:spacing w:before="71" w:line="220" w:lineRule="auto"/>
              <w:ind w:left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2028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931" w:type="dxa"/>
            <w:vAlign w:val="top"/>
          </w:tcPr>
          <w:p w14:paraId="4D0E7A45">
            <w:pPr>
              <w:spacing w:line="468" w:lineRule="auto"/>
              <w:rPr>
                <w:rFonts w:ascii="Arial"/>
                <w:sz w:val="21"/>
              </w:rPr>
            </w:pPr>
          </w:p>
          <w:p w14:paraId="03DE972E">
            <w:pPr>
              <w:spacing w:before="71" w:line="220" w:lineRule="auto"/>
              <w:ind w:left="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2029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1041" w:type="dxa"/>
            <w:vAlign w:val="top"/>
          </w:tcPr>
          <w:p w14:paraId="63040210">
            <w:pPr>
              <w:spacing w:line="468" w:lineRule="auto"/>
              <w:rPr>
                <w:rFonts w:ascii="Arial"/>
                <w:sz w:val="21"/>
              </w:rPr>
            </w:pPr>
          </w:p>
          <w:p w14:paraId="07143B5F">
            <w:pPr>
              <w:spacing w:before="71" w:line="220" w:lineRule="auto"/>
              <w:ind w:left="1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2030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1041" w:type="dxa"/>
            <w:vAlign w:val="top"/>
          </w:tcPr>
          <w:p w14:paraId="62D734E1">
            <w:pPr>
              <w:spacing w:line="468" w:lineRule="auto"/>
              <w:rPr>
                <w:rFonts w:ascii="Arial"/>
                <w:sz w:val="21"/>
              </w:rPr>
            </w:pPr>
          </w:p>
          <w:p w14:paraId="4C2899B2">
            <w:pPr>
              <w:spacing w:before="71" w:line="220" w:lineRule="auto"/>
              <w:ind w:left="1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2031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1041" w:type="dxa"/>
            <w:vAlign w:val="top"/>
          </w:tcPr>
          <w:p w14:paraId="1818A305">
            <w:pPr>
              <w:spacing w:line="468" w:lineRule="auto"/>
              <w:rPr>
                <w:rFonts w:ascii="Arial"/>
                <w:sz w:val="21"/>
              </w:rPr>
            </w:pPr>
          </w:p>
          <w:p w14:paraId="113A2F46">
            <w:pPr>
              <w:spacing w:before="71" w:line="220" w:lineRule="auto"/>
              <w:ind w:left="1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2032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1041" w:type="dxa"/>
            <w:vAlign w:val="top"/>
          </w:tcPr>
          <w:p w14:paraId="3D4D59B3">
            <w:pPr>
              <w:spacing w:line="468" w:lineRule="auto"/>
              <w:rPr>
                <w:rFonts w:ascii="Arial"/>
                <w:sz w:val="21"/>
              </w:rPr>
            </w:pPr>
          </w:p>
          <w:p w14:paraId="0B2ECDA9">
            <w:pPr>
              <w:spacing w:before="71" w:line="220" w:lineRule="auto"/>
              <w:ind w:left="16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2033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1045" w:type="dxa"/>
            <w:vAlign w:val="top"/>
          </w:tcPr>
          <w:p w14:paraId="1C28D15E">
            <w:pPr>
              <w:spacing w:line="468" w:lineRule="auto"/>
              <w:rPr>
                <w:rFonts w:ascii="Arial"/>
                <w:sz w:val="21"/>
              </w:rPr>
            </w:pPr>
          </w:p>
          <w:p w14:paraId="1B8A2E5B">
            <w:pPr>
              <w:spacing w:before="71" w:line="220" w:lineRule="auto"/>
              <w:ind w:left="1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2034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</w:tr>
      <w:tr w14:paraId="6C8BCC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662" w:type="dxa"/>
            <w:vAlign w:val="top"/>
          </w:tcPr>
          <w:p w14:paraId="5E88404C">
            <w:pPr>
              <w:spacing w:before="200" w:line="164" w:lineRule="exact"/>
              <w:ind w:left="23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position w:val="-4"/>
                <w:sz w:val="22"/>
                <w:szCs w:val="22"/>
              </w:rPr>
              <w:t>一</w:t>
            </w:r>
          </w:p>
        </w:tc>
        <w:tc>
          <w:tcPr>
            <w:tcW w:w="2680" w:type="dxa"/>
            <w:vAlign w:val="top"/>
          </w:tcPr>
          <w:p w14:paraId="471A03E8">
            <w:pPr>
              <w:spacing w:before="111" w:line="225" w:lineRule="auto"/>
              <w:ind w:left="92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2"/>
                <w:szCs w:val="22"/>
              </w:rPr>
              <w:t>资金流入</w:t>
            </w:r>
          </w:p>
        </w:tc>
        <w:tc>
          <w:tcPr>
            <w:tcW w:w="1150" w:type="dxa"/>
            <w:vAlign w:val="top"/>
          </w:tcPr>
          <w:p w14:paraId="23CA0849">
            <w:pPr>
              <w:spacing w:before="147" w:line="189" w:lineRule="auto"/>
              <w:ind w:left="11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186243.07</w:t>
            </w:r>
          </w:p>
        </w:tc>
        <w:tc>
          <w:tcPr>
            <w:tcW w:w="1040" w:type="dxa"/>
            <w:vAlign w:val="top"/>
          </w:tcPr>
          <w:p w14:paraId="2C2538D5">
            <w:pPr>
              <w:spacing w:before="147" w:line="189" w:lineRule="auto"/>
              <w:ind w:left="11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25000.00</w:t>
            </w:r>
          </w:p>
        </w:tc>
        <w:tc>
          <w:tcPr>
            <w:tcW w:w="1041" w:type="dxa"/>
            <w:vAlign w:val="top"/>
          </w:tcPr>
          <w:p w14:paraId="36947B73">
            <w:pPr>
              <w:spacing w:before="147" w:line="189" w:lineRule="auto"/>
              <w:ind w:left="11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25000.00</w:t>
            </w:r>
          </w:p>
        </w:tc>
        <w:tc>
          <w:tcPr>
            <w:tcW w:w="1040" w:type="dxa"/>
            <w:vAlign w:val="top"/>
          </w:tcPr>
          <w:p w14:paraId="612D64BD">
            <w:pPr>
              <w:spacing w:before="147" w:line="189" w:lineRule="auto"/>
              <w:ind w:left="12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11000.00</w:t>
            </w:r>
          </w:p>
        </w:tc>
        <w:tc>
          <w:tcPr>
            <w:tcW w:w="931" w:type="dxa"/>
            <w:vAlign w:val="top"/>
          </w:tcPr>
          <w:p w14:paraId="6125FB24">
            <w:pPr>
              <w:spacing w:before="147" w:line="189" w:lineRule="auto"/>
              <w:ind w:left="12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1730.26</w:t>
            </w:r>
          </w:p>
        </w:tc>
        <w:tc>
          <w:tcPr>
            <w:tcW w:w="931" w:type="dxa"/>
            <w:vAlign w:val="top"/>
          </w:tcPr>
          <w:p w14:paraId="4FEF07F1">
            <w:pPr>
              <w:spacing w:before="147" w:line="189" w:lineRule="auto"/>
              <w:ind w:left="11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4597.89</w:t>
            </w:r>
          </w:p>
        </w:tc>
        <w:tc>
          <w:tcPr>
            <w:tcW w:w="931" w:type="dxa"/>
            <w:vAlign w:val="top"/>
          </w:tcPr>
          <w:p w14:paraId="71878712">
            <w:pPr>
              <w:spacing w:before="147" w:line="189" w:lineRule="auto"/>
              <w:ind w:left="11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4874.05</w:t>
            </w:r>
          </w:p>
        </w:tc>
        <w:tc>
          <w:tcPr>
            <w:tcW w:w="1041" w:type="dxa"/>
            <w:vAlign w:val="top"/>
          </w:tcPr>
          <w:p w14:paraId="5894D797">
            <w:pPr>
              <w:spacing w:before="147" w:line="189" w:lineRule="auto"/>
              <w:ind w:left="17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5600.52</w:t>
            </w:r>
          </w:p>
        </w:tc>
        <w:tc>
          <w:tcPr>
            <w:tcW w:w="1041" w:type="dxa"/>
            <w:vAlign w:val="top"/>
          </w:tcPr>
          <w:p w14:paraId="52CC1E1D">
            <w:pPr>
              <w:spacing w:before="147" w:line="189" w:lineRule="auto"/>
              <w:ind w:left="16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5903.70</w:t>
            </w:r>
          </w:p>
        </w:tc>
        <w:tc>
          <w:tcPr>
            <w:tcW w:w="1041" w:type="dxa"/>
            <w:vAlign w:val="top"/>
          </w:tcPr>
          <w:p w14:paraId="0D8D73EB">
            <w:pPr>
              <w:spacing w:before="147" w:line="189" w:lineRule="auto"/>
              <w:ind w:left="16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5903.70</w:t>
            </w:r>
          </w:p>
        </w:tc>
        <w:tc>
          <w:tcPr>
            <w:tcW w:w="1041" w:type="dxa"/>
            <w:vAlign w:val="top"/>
          </w:tcPr>
          <w:p w14:paraId="573261A4">
            <w:pPr>
              <w:spacing w:before="147" w:line="189" w:lineRule="auto"/>
              <w:ind w:left="17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6428.63</w:t>
            </w:r>
          </w:p>
        </w:tc>
        <w:tc>
          <w:tcPr>
            <w:tcW w:w="1045" w:type="dxa"/>
            <w:vAlign w:val="top"/>
          </w:tcPr>
          <w:p w14:paraId="5FD17206">
            <w:pPr>
              <w:spacing w:before="147" w:line="189" w:lineRule="auto"/>
              <w:ind w:left="17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6390.64</w:t>
            </w:r>
          </w:p>
        </w:tc>
      </w:tr>
      <w:tr w14:paraId="336A61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62" w:type="dxa"/>
            <w:vAlign w:val="top"/>
          </w:tcPr>
          <w:p w14:paraId="36F991F4">
            <w:pPr>
              <w:spacing w:before="149" w:line="189" w:lineRule="auto"/>
              <w:ind w:left="29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2680" w:type="dxa"/>
            <w:vAlign w:val="top"/>
          </w:tcPr>
          <w:p w14:paraId="725A0297">
            <w:pPr>
              <w:spacing w:before="111" w:line="223" w:lineRule="auto"/>
              <w:ind w:left="80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项目资本金</w:t>
            </w:r>
          </w:p>
        </w:tc>
        <w:tc>
          <w:tcPr>
            <w:tcW w:w="1150" w:type="dxa"/>
            <w:vAlign w:val="top"/>
          </w:tcPr>
          <w:p w14:paraId="4F688AE6">
            <w:pPr>
              <w:spacing w:before="149" w:line="189" w:lineRule="auto"/>
              <w:ind w:left="17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13000.00</w:t>
            </w:r>
          </w:p>
        </w:tc>
        <w:tc>
          <w:tcPr>
            <w:tcW w:w="1040" w:type="dxa"/>
            <w:vAlign w:val="top"/>
          </w:tcPr>
          <w:p w14:paraId="132A9BAB">
            <w:pPr>
              <w:spacing w:before="149" w:line="189" w:lineRule="auto"/>
              <w:ind w:left="17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5000.00</w:t>
            </w:r>
          </w:p>
        </w:tc>
        <w:tc>
          <w:tcPr>
            <w:tcW w:w="1041" w:type="dxa"/>
            <w:vAlign w:val="top"/>
          </w:tcPr>
          <w:p w14:paraId="4CE589D5">
            <w:pPr>
              <w:spacing w:before="149" w:line="189" w:lineRule="auto"/>
              <w:ind w:left="17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5000.00</w:t>
            </w:r>
          </w:p>
        </w:tc>
        <w:tc>
          <w:tcPr>
            <w:tcW w:w="1040" w:type="dxa"/>
            <w:vAlign w:val="top"/>
          </w:tcPr>
          <w:p w14:paraId="0E9C1B28">
            <w:pPr>
              <w:spacing w:before="149" w:line="189" w:lineRule="auto"/>
              <w:ind w:left="17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3000.00</w:t>
            </w:r>
          </w:p>
        </w:tc>
        <w:tc>
          <w:tcPr>
            <w:tcW w:w="931" w:type="dxa"/>
            <w:vAlign w:val="top"/>
          </w:tcPr>
          <w:p w14:paraId="25CB5C61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0774FC2A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582A412A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7EDE0DC0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15F74680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1005184F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219A91C7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645205D8">
            <w:pPr>
              <w:rPr>
                <w:rFonts w:ascii="Arial"/>
                <w:sz w:val="21"/>
              </w:rPr>
            </w:pPr>
          </w:p>
        </w:tc>
      </w:tr>
      <w:tr w14:paraId="7BBDFC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62" w:type="dxa"/>
            <w:vAlign w:val="top"/>
          </w:tcPr>
          <w:p w14:paraId="25DAD55A">
            <w:pPr>
              <w:spacing w:before="148" w:line="189" w:lineRule="auto"/>
              <w:ind w:left="21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22"/>
                <w:szCs w:val="22"/>
              </w:rPr>
              <w:t>1.1</w:t>
            </w:r>
          </w:p>
        </w:tc>
        <w:tc>
          <w:tcPr>
            <w:tcW w:w="2680" w:type="dxa"/>
            <w:vAlign w:val="top"/>
          </w:tcPr>
          <w:p w14:paraId="2359DB32">
            <w:pPr>
              <w:spacing w:before="112" w:line="225" w:lineRule="auto"/>
              <w:ind w:left="91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企业自筹</w:t>
            </w:r>
          </w:p>
        </w:tc>
        <w:tc>
          <w:tcPr>
            <w:tcW w:w="1150" w:type="dxa"/>
            <w:vAlign w:val="top"/>
          </w:tcPr>
          <w:p w14:paraId="0FE1A637">
            <w:pPr>
              <w:spacing w:before="148" w:line="189" w:lineRule="auto"/>
              <w:ind w:left="17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13000.00</w:t>
            </w:r>
          </w:p>
        </w:tc>
        <w:tc>
          <w:tcPr>
            <w:tcW w:w="1040" w:type="dxa"/>
            <w:vAlign w:val="top"/>
          </w:tcPr>
          <w:p w14:paraId="38052016">
            <w:pPr>
              <w:spacing w:before="148" w:line="189" w:lineRule="auto"/>
              <w:ind w:left="17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5000.00</w:t>
            </w:r>
          </w:p>
        </w:tc>
        <w:tc>
          <w:tcPr>
            <w:tcW w:w="1041" w:type="dxa"/>
            <w:vAlign w:val="top"/>
          </w:tcPr>
          <w:p w14:paraId="03F9BF8C">
            <w:pPr>
              <w:spacing w:before="148" w:line="189" w:lineRule="auto"/>
              <w:ind w:left="17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5000.00</w:t>
            </w:r>
          </w:p>
        </w:tc>
        <w:tc>
          <w:tcPr>
            <w:tcW w:w="1040" w:type="dxa"/>
            <w:vAlign w:val="top"/>
          </w:tcPr>
          <w:p w14:paraId="71C7EA30">
            <w:pPr>
              <w:spacing w:before="148" w:line="189" w:lineRule="auto"/>
              <w:ind w:left="17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3000.00</w:t>
            </w:r>
          </w:p>
        </w:tc>
        <w:tc>
          <w:tcPr>
            <w:tcW w:w="931" w:type="dxa"/>
            <w:vAlign w:val="top"/>
          </w:tcPr>
          <w:p w14:paraId="650D9A0B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13EDA330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58FA002E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6D87D38C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7539BD38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13587BD6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418046E5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0BC83B06">
            <w:pPr>
              <w:rPr>
                <w:rFonts w:ascii="Arial"/>
                <w:sz w:val="21"/>
              </w:rPr>
            </w:pPr>
          </w:p>
        </w:tc>
      </w:tr>
      <w:tr w14:paraId="0325DA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62" w:type="dxa"/>
            <w:vAlign w:val="top"/>
          </w:tcPr>
          <w:p w14:paraId="4714373D">
            <w:pPr>
              <w:spacing w:before="149" w:line="189" w:lineRule="auto"/>
              <w:ind w:left="27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2680" w:type="dxa"/>
            <w:vAlign w:val="top"/>
          </w:tcPr>
          <w:p w14:paraId="28638B75">
            <w:pPr>
              <w:spacing w:before="111" w:line="222" w:lineRule="auto"/>
              <w:ind w:left="91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5"/>
                <w:sz w:val="22"/>
                <w:szCs w:val="22"/>
              </w:rPr>
              <w:t>专项债券</w:t>
            </w:r>
          </w:p>
        </w:tc>
        <w:tc>
          <w:tcPr>
            <w:tcW w:w="1150" w:type="dxa"/>
            <w:vAlign w:val="top"/>
          </w:tcPr>
          <w:p w14:paraId="6693D32A">
            <w:pPr>
              <w:spacing w:before="149" w:line="189" w:lineRule="auto"/>
              <w:ind w:left="16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48000.00</w:t>
            </w:r>
          </w:p>
        </w:tc>
        <w:tc>
          <w:tcPr>
            <w:tcW w:w="1040" w:type="dxa"/>
            <w:vAlign w:val="top"/>
          </w:tcPr>
          <w:p w14:paraId="7B58534B">
            <w:pPr>
              <w:spacing w:before="149" w:line="189" w:lineRule="auto"/>
              <w:ind w:left="11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20000.00</w:t>
            </w:r>
          </w:p>
        </w:tc>
        <w:tc>
          <w:tcPr>
            <w:tcW w:w="1041" w:type="dxa"/>
            <w:vAlign w:val="top"/>
          </w:tcPr>
          <w:p w14:paraId="1704F158">
            <w:pPr>
              <w:spacing w:before="149" w:line="189" w:lineRule="auto"/>
              <w:ind w:left="11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20000.00</w:t>
            </w:r>
          </w:p>
        </w:tc>
        <w:tc>
          <w:tcPr>
            <w:tcW w:w="1040" w:type="dxa"/>
            <w:vAlign w:val="top"/>
          </w:tcPr>
          <w:p w14:paraId="13662BC3">
            <w:pPr>
              <w:spacing w:before="149" w:line="189" w:lineRule="auto"/>
              <w:ind w:left="17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8000.00</w:t>
            </w:r>
          </w:p>
        </w:tc>
        <w:tc>
          <w:tcPr>
            <w:tcW w:w="931" w:type="dxa"/>
            <w:vAlign w:val="top"/>
          </w:tcPr>
          <w:p w14:paraId="047145AD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663C5BCA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1A79322C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44A6EF80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594FFA02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2870DFBB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5D1B68AD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311C4D4B">
            <w:pPr>
              <w:rPr>
                <w:rFonts w:ascii="Arial"/>
                <w:sz w:val="21"/>
              </w:rPr>
            </w:pPr>
          </w:p>
        </w:tc>
      </w:tr>
      <w:tr w14:paraId="53CBE2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662" w:type="dxa"/>
            <w:vAlign w:val="top"/>
          </w:tcPr>
          <w:p w14:paraId="1815F295">
            <w:pPr>
              <w:spacing w:line="299" w:lineRule="auto"/>
              <w:rPr>
                <w:rFonts w:ascii="Arial"/>
                <w:sz w:val="21"/>
              </w:rPr>
            </w:pPr>
          </w:p>
          <w:p w14:paraId="5AC71D60">
            <w:pPr>
              <w:spacing w:before="63" w:line="189" w:lineRule="auto"/>
              <w:ind w:left="27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2680" w:type="dxa"/>
            <w:vAlign w:val="top"/>
          </w:tcPr>
          <w:p w14:paraId="29F788F6">
            <w:pPr>
              <w:spacing w:before="110" w:line="220" w:lineRule="auto"/>
              <w:ind w:left="15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息前净现金流量（缴存国</w:t>
            </w:r>
          </w:p>
          <w:p w14:paraId="317D8ABA">
            <w:pPr>
              <w:spacing w:before="172" w:line="223" w:lineRule="auto"/>
              <w:ind w:left="113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9"/>
                <w:sz w:val="22"/>
                <w:szCs w:val="22"/>
              </w:rPr>
              <w:t>库）</w:t>
            </w:r>
          </w:p>
        </w:tc>
        <w:tc>
          <w:tcPr>
            <w:tcW w:w="1150" w:type="dxa"/>
            <w:vAlign w:val="top"/>
          </w:tcPr>
          <w:p w14:paraId="41048AD9">
            <w:pPr>
              <w:spacing w:line="299" w:lineRule="auto"/>
              <w:rPr>
                <w:rFonts w:ascii="Arial"/>
                <w:sz w:val="21"/>
              </w:rPr>
            </w:pPr>
          </w:p>
          <w:p w14:paraId="511C7055">
            <w:pPr>
              <w:spacing w:before="63" w:line="189" w:lineRule="auto"/>
              <w:ind w:left="11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125243.05</w:t>
            </w:r>
          </w:p>
        </w:tc>
        <w:tc>
          <w:tcPr>
            <w:tcW w:w="1040" w:type="dxa"/>
            <w:vAlign w:val="top"/>
          </w:tcPr>
          <w:p w14:paraId="720B5164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4A5A1E7E">
            <w:pPr>
              <w:rPr>
                <w:rFonts w:ascii="Arial"/>
                <w:sz w:val="21"/>
              </w:rPr>
            </w:pPr>
          </w:p>
        </w:tc>
        <w:tc>
          <w:tcPr>
            <w:tcW w:w="1040" w:type="dxa"/>
            <w:vAlign w:val="top"/>
          </w:tcPr>
          <w:p w14:paraId="09F01B6B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5E15CE46">
            <w:pPr>
              <w:spacing w:line="299" w:lineRule="auto"/>
              <w:rPr>
                <w:rFonts w:ascii="Arial"/>
                <w:sz w:val="21"/>
              </w:rPr>
            </w:pPr>
          </w:p>
          <w:p w14:paraId="1BE3C81C">
            <w:pPr>
              <w:spacing w:before="63" w:line="189" w:lineRule="auto"/>
              <w:ind w:left="13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1730.26</w:t>
            </w:r>
          </w:p>
        </w:tc>
        <w:tc>
          <w:tcPr>
            <w:tcW w:w="931" w:type="dxa"/>
            <w:vAlign w:val="top"/>
          </w:tcPr>
          <w:p w14:paraId="5157E50B">
            <w:pPr>
              <w:spacing w:line="299" w:lineRule="auto"/>
              <w:rPr>
                <w:rFonts w:ascii="Arial"/>
                <w:sz w:val="21"/>
              </w:rPr>
            </w:pPr>
          </w:p>
          <w:p w14:paraId="5BC10E3D">
            <w:pPr>
              <w:spacing w:before="63" w:line="189" w:lineRule="auto"/>
              <w:ind w:left="11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4597.89</w:t>
            </w:r>
          </w:p>
        </w:tc>
        <w:tc>
          <w:tcPr>
            <w:tcW w:w="931" w:type="dxa"/>
            <w:vAlign w:val="top"/>
          </w:tcPr>
          <w:p w14:paraId="57282E37">
            <w:pPr>
              <w:spacing w:line="299" w:lineRule="auto"/>
              <w:rPr>
                <w:rFonts w:ascii="Arial"/>
                <w:sz w:val="21"/>
              </w:rPr>
            </w:pPr>
          </w:p>
          <w:p w14:paraId="4492B9B7">
            <w:pPr>
              <w:spacing w:before="63" w:line="189" w:lineRule="auto"/>
              <w:ind w:left="11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4874.05</w:t>
            </w:r>
          </w:p>
        </w:tc>
        <w:tc>
          <w:tcPr>
            <w:tcW w:w="1041" w:type="dxa"/>
            <w:vAlign w:val="top"/>
          </w:tcPr>
          <w:p w14:paraId="63D35AB7">
            <w:pPr>
              <w:spacing w:line="299" w:lineRule="auto"/>
              <w:rPr>
                <w:rFonts w:ascii="Arial"/>
                <w:sz w:val="21"/>
              </w:rPr>
            </w:pPr>
          </w:p>
          <w:p w14:paraId="6F3A2540">
            <w:pPr>
              <w:spacing w:before="63" w:line="189" w:lineRule="auto"/>
              <w:ind w:left="17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5600.52</w:t>
            </w:r>
          </w:p>
        </w:tc>
        <w:tc>
          <w:tcPr>
            <w:tcW w:w="1041" w:type="dxa"/>
            <w:vAlign w:val="top"/>
          </w:tcPr>
          <w:p w14:paraId="15486B36">
            <w:pPr>
              <w:spacing w:line="299" w:lineRule="auto"/>
              <w:rPr>
                <w:rFonts w:ascii="Arial"/>
                <w:sz w:val="21"/>
              </w:rPr>
            </w:pPr>
          </w:p>
          <w:p w14:paraId="230B18DE">
            <w:pPr>
              <w:spacing w:before="63" w:line="189" w:lineRule="auto"/>
              <w:ind w:left="17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5903.70</w:t>
            </w:r>
          </w:p>
        </w:tc>
        <w:tc>
          <w:tcPr>
            <w:tcW w:w="1041" w:type="dxa"/>
            <w:vAlign w:val="top"/>
          </w:tcPr>
          <w:p w14:paraId="0727AFA1">
            <w:pPr>
              <w:spacing w:line="299" w:lineRule="auto"/>
              <w:rPr>
                <w:rFonts w:ascii="Arial"/>
                <w:sz w:val="21"/>
              </w:rPr>
            </w:pPr>
          </w:p>
          <w:p w14:paraId="6B724C40">
            <w:pPr>
              <w:spacing w:before="63" w:line="189" w:lineRule="auto"/>
              <w:ind w:left="17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5903.70</w:t>
            </w:r>
          </w:p>
        </w:tc>
        <w:tc>
          <w:tcPr>
            <w:tcW w:w="1041" w:type="dxa"/>
            <w:vAlign w:val="top"/>
          </w:tcPr>
          <w:p w14:paraId="3FC5AC81">
            <w:pPr>
              <w:spacing w:line="299" w:lineRule="auto"/>
              <w:rPr>
                <w:rFonts w:ascii="Arial"/>
                <w:sz w:val="21"/>
              </w:rPr>
            </w:pPr>
          </w:p>
          <w:p w14:paraId="6E44AA29">
            <w:pPr>
              <w:spacing w:before="63" w:line="189" w:lineRule="auto"/>
              <w:ind w:left="17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6428.63</w:t>
            </w:r>
          </w:p>
        </w:tc>
        <w:tc>
          <w:tcPr>
            <w:tcW w:w="1045" w:type="dxa"/>
            <w:vAlign w:val="top"/>
          </w:tcPr>
          <w:p w14:paraId="29D1FC69">
            <w:pPr>
              <w:spacing w:line="299" w:lineRule="auto"/>
              <w:rPr>
                <w:rFonts w:ascii="Arial"/>
                <w:sz w:val="21"/>
              </w:rPr>
            </w:pPr>
          </w:p>
          <w:p w14:paraId="309C4269">
            <w:pPr>
              <w:spacing w:before="63" w:line="189" w:lineRule="auto"/>
              <w:ind w:left="17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6390.64</w:t>
            </w:r>
          </w:p>
        </w:tc>
      </w:tr>
      <w:tr w14:paraId="2A0688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62" w:type="dxa"/>
            <w:vAlign w:val="top"/>
          </w:tcPr>
          <w:p w14:paraId="50212C75">
            <w:pPr>
              <w:spacing w:before="166" w:line="180" w:lineRule="auto"/>
              <w:ind w:left="247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b/>
                <w:bCs/>
                <w:spacing w:val="-2"/>
                <w:sz w:val="19"/>
                <w:szCs w:val="19"/>
              </w:rPr>
              <w:t>二</w:t>
            </w:r>
          </w:p>
        </w:tc>
        <w:tc>
          <w:tcPr>
            <w:tcW w:w="2680" w:type="dxa"/>
            <w:vAlign w:val="top"/>
          </w:tcPr>
          <w:p w14:paraId="6B82979B">
            <w:pPr>
              <w:spacing w:before="111" w:line="225" w:lineRule="auto"/>
              <w:ind w:left="92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2"/>
                <w:szCs w:val="22"/>
              </w:rPr>
              <w:t>资金流出</w:t>
            </w:r>
          </w:p>
        </w:tc>
        <w:tc>
          <w:tcPr>
            <w:tcW w:w="1150" w:type="dxa"/>
            <w:vAlign w:val="top"/>
          </w:tcPr>
          <w:p w14:paraId="7DAD91EB">
            <w:pPr>
              <w:spacing w:before="149" w:line="189" w:lineRule="auto"/>
              <w:ind w:left="11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136904.00</w:t>
            </w:r>
          </w:p>
        </w:tc>
        <w:tc>
          <w:tcPr>
            <w:tcW w:w="1040" w:type="dxa"/>
            <w:vAlign w:val="top"/>
          </w:tcPr>
          <w:p w14:paraId="1F65621E">
            <w:pPr>
              <w:spacing w:before="150" w:line="189" w:lineRule="auto"/>
              <w:ind w:left="11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25000.00</w:t>
            </w:r>
          </w:p>
        </w:tc>
        <w:tc>
          <w:tcPr>
            <w:tcW w:w="1041" w:type="dxa"/>
            <w:vAlign w:val="top"/>
          </w:tcPr>
          <w:p w14:paraId="45494695">
            <w:pPr>
              <w:spacing w:before="150" w:line="189" w:lineRule="auto"/>
              <w:ind w:left="11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25000.00</w:t>
            </w:r>
          </w:p>
        </w:tc>
        <w:tc>
          <w:tcPr>
            <w:tcW w:w="1040" w:type="dxa"/>
            <w:vAlign w:val="top"/>
          </w:tcPr>
          <w:p w14:paraId="4377C452">
            <w:pPr>
              <w:spacing w:before="150" w:line="189" w:lineRule="auto"/>
              <w:ind w:left="12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11000.00</w:t>
            </w:r>
          </w:p>
        </w:tc>
        <w:tc>
          <w:tcPr>
            <w:tcW w:w="931" w:type="dxa"/>
            <w:vAlign w:val="top"/>
          </w:tcPr>
          <w:p w14:paraId="03880095">
            <w:pPr>
              <w:spacing w:before="150" w:line="189" w:lineRule="auto"/>
              <w:ind w:left="17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640.00</w:t>
            </w:r>
          </w:p>
        </w:tc>
        <w:tc>
          <w:tcPr>
            <w:tcW w:w="931" w:type="dxa"/>
            <w:vAlign w:val="top"/>
          </w:tcPr>
          <w:p w14:paraId="334CED03">
            <w:pPr>
              <w:spacing w:before="149" w:line="189" w:lineRule="auto"/>
              <w:ind w:left="12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1536.00</w:t>
            </w:r>
          </w:p>
        </w:tc>
        <w:tc>
          <w:tcPr>
            <w:tcW w:w="931" w:type="dxa"/>
            <w:vAlign w:val="top"/>
          </w:tcPr>
          <w:p w14:paraId="21B44F9C">
            <w:pPr>
              <w:spacing w:before="149" w:line="189" w:lineRule="auto"/>
              <w:ind w:left="12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1DD7E77B">
            <w:pPr>
              <w:spacing w:before="149" w:line="189" w:lineRule="auto"/>
              <w:ind w:left="17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4286D5E0">
            <w:pPr>
              <w:spacing w:before="149" w:line="189" w:lineRule="auto"/>
              <w:ind w:left="17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0CCB0F77">
            <w:pPr>
              <w:spacing w:before="149" w:line="189" w:lineRule="auto"/>
              <w:ind w:left="17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729251F9">
            <w:pPr>
              <w:spacing w:before="149" w:line="189" w:lineRule="auto"/>
              <w:ind w:left="17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1536.00</w:t>
            </w:r>
          </w:p>
        </w:tc>
        <w:tc>
          <w:tcPr>
            <w:tcW w:w="1045" w:type="dxa"/>
            <w:vAlign w:val="top"/>
          </w:tcPr>
          <w:p w14:paraId="7F2CF5BE">
            <w:pPr>
              <w:spacing w:before="149" w:line="189" w:lineRule="auto"/>
              <w:ind w:left="17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22"/>
                <w:szCs w:val="22"/>
              </w:rPr>
              <w:t>1536.00</w:t>
            </w:r>
          </w:p>
        </w:tc>
      </w:tr>
      <w:tr w14:paraId="576F69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662" w:type="dxa"/>
            <w:vAlign w:val="top"/>
          </w:tcPr>
          <w:p w14:paraId="20EB016A">
            <w:pPr>
              <w:spacing w:line="299" w:lineRule="auto"/>
              <w:rPr>
                <w:rFonts w:ascii="Arial"/>
                <w:sz w:val="21"/>
              </w:rPr>
            </w:pPr>
          </w:p>
          <w:p w14:paraId="4806BDFA">
            <w:pPr>
              <w:spacing w:before="64" w:line="189" w:lineRule="auto"/>
              <w:ind w:left="29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2680" w:type="dxa"/>
            <w:vAlign w:val="top"/>
          </w:tcPr>
          <w:p w14:paraId="54CFE496">
            <w:pPr>
              <w:spacing w:before="110" w:line="225" w:lineRule="auto"/>
              <w:ind w:left="69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项目建设投资</w:t>
            </w:r>
          </w:p>
          <w:p w14:paraId="674872B9">
            <w:pPr>
              <w:spacing w:before="166" w:line="222" w:lineRule="auto"/>
              <w:ind w:left="25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（不含发行费及利息）</w:t>
            </w:r>
          </w:p>
        </w:tc>
        <w:tc>
          <w:tcPr>
            <w:tcW w:w="1150" w:type="dxa"/>
            <w:vAlign w:val="top"/>
          </w:tcPr>
          <w:p w14:paraId="05B99BF3">
            <w:pPr>
              <w:spacing w:line="299" w:lineRule="auto"/>
              <w:rPr>
                <w:rFonts w:ascii="Arial"/>
                <w:sz w:val="21"/>
              </w:rPr>
            </w:pPr>
          </w:p>
          <w:p w14:paraId="2B2EEC6A">
            <w:pPr>
              <w:spacing w:before="63" w:line="189" w:lineRule="auto"/>
              <w:ind w:left="16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58509.33</w:t>
            </w:r>
          </w:p>
        </w:tc>
        <w:tc>
          <w:tcPr>
            <w:tcW w:w="1040" w:type="dxa"/>
            <w:vAlign w:val="top"/>
          </w:tcPr>
          <w:p w14:paraId="38F57CDE">
            <w:pPr>
              <w:spacing w:line="299" w:lineRule="auto"/>
              <w:rPr>
                <w:rFonts w:ascii="Arial"/>
                <w:sz w:val="21"/>
              </w:rPr>
            </w:pPr>
          </w:p>
          <w:p w14:paraId="43C9D8F4">
            <w:pPr>
              <w:spacing w:before="63" w:line="189" w:lineRule="auto"/>
              <w:ind w:left="11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24713.33</w:t>
            </w:r>
          </w:p>
        </w:tc>
        <w:tc>
          <w:tcPr>
            <w:tcW w:w="1041" w:type="dxa"/>
            <w:vAlign w:val="top"/>
          </w:tcPr>
          <w:p w14:paraId="1F7A5FE5">
            <w:pPr>
              <w:spacing w:line="299" w:lineRule="auto"/>
              <w:rPr>
                <w:rFonts w:ascii="Arial"/>
                <w:sz w:val="21"/>
              </w:rPr>
            </w:pPr>
          </w:p>
          <w:p w14:paraId="059C633E">
            <w:pPr>
              <w:spacing w:before="63" w:line="189" w:lineRule="auto"/>
              <w:ind w:left="11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23700.00</w:t>
            </w:r>
          </w:p>
        </w:tc>
        <w:tc>
          <w:tcPr>
            <w:tcW w:w="1040" w:type="dxa"/>
            <w:vAlign w:val="top"/>
          </w:tcPr>
          <w:p w14:paraId="78168211">
            <w:pPr>
              <w:spacing w:line="299" w:lineRule="auto"/>
              <w:rPr>
                <w:rFonts w:ascii="Arial"/>
                <w:sz w:val="21"/>
              </w:rPr>
            </w:pPr>
          </w:p>
          <w:p w14:paraId="640EAB0D">
            <w:pPr>
              <w:spacing w:before="63" w:line="189" w:lineRule="auto"/>
              <w:ind w:left="13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2"/>
                <w:szCs w:val="22"/>
              </w:rPr>
              <w:t>10096.00</w:t>
            </w:r>
          </w:p>
        </w:tc>
        <w:tc>
          <w:tcPr>
            <w:tcW w:w="931" w:type="dxa"/>
            <w:vAlign w:val="top"/>
          </w:tcPr>
          <w:p w14:paraId="5F185B55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5D20B683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4AE5C92B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024C9BA4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4A7ECB01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74EDC97D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651F0AA1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59BE2679">
            <w:pPr>
              <w:rPr>
                <w:rFonts w:ascii="Arial"/>
                <w:sz w:val="21"/>
              </w:rPr>
            </w:pPr>
          </w:p>
        </w:tc>
      </w:tr>
      <w:tr w14:paraId="73EE3C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62" w:type="dxa"/>
            <w:vAlign w:val="top"/>
          </w:tcPr>
          <w:p w14:paraId="67A5C9A9">
            <w:pPr>
              <w:spacing w:before="150" w:line="189" w:lineRule="auto"/>
              <w:ind w:left="27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2680" w:type="dxa"/>
            <w:vAlign w:val="top"/>
          </w:tcPr>
          <w:p w14:paraId="4FF3C35B">
            <w:pPr>
              <w:spacing w:before="114" w:line="222" w:lineRule="auto"/>
              <w:ind w:left="102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7"/>
                <w:sz w:val="22"/>
                <w:szCs w:val="22"/>
              </w:rPr>
              <w:t>发行费</w:t>
            </w:r>
          </w:p>
        </w:tc>
        <w:tc>
          <w:tcPr>
            <w:tcW w:w="1150" w:type="dxa"/>
            <w:vAlign w:val="top"/>
          </w:tcPr>
          <w:p w14:paraId="1A8B3D88">
            <w:pPr>
              <w:spacing w:before="150" w:line="189" w:lineRule="auto"/>
              <w:ind w:left="33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48.00</w:t>
            </w:r>
          </w:p>
        </w:tc>
        <w:tc>
          <w:tcPr>
            <w:tcW w:w="1040" w:type="dxa"/>
            <w:vAlign w:val="top"/>
          </w:tcPr>
          <w:p w14:paraId="18BE83F9">
            <w:pPr>
              <w:spacing w:before="150" w:line="189" w:lineRule="auto"/>
              <w:ind w:left="27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20.00</w:t>
            </w:r>
          </w:p>
        </w:tc>
        <w:tc>
          <w:tcPr>
            <w:tcW w:w="1041" w:type="dxa"/>
            <w:vAlign w:val="top"/>
          </w:tcPr>
          <w:p w14:paraId="6782CB1B">
            <w:pPr>
              <w:spacing w:before="150" w:line="189" w:lineRule="auto"/>
              <w:ind w:left="27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20.00</w:t>
            </w:r>
          </w:p>
        </w:tc>
        <w:tc>
          <w:tcPr>
            <w:tcW w:w="1040" w:type="dxa"/>
            <w:vAlign w:val="top"/>
          </w:tcPr>
          <w:p w14:paraId="3549086E">
            <w:pPr>
              <w:spacing w:before="150" w:line="189" w:lineRule="auto"/>
              <w:ind w:left="3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8.00</w:t>
            </w:r>
          </w:p>
        </w:tc>
        <w:tc>
          <w:tcPr>
            <w:tcW w:w="931" w:type="dxa"/>
            <w:vAlign w:val="top"/>
          </w:tcPr>
          <w:p w14:paraId="6A38642A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59A3464C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167DA93C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613A7812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6062F79C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59E623D8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7B43D00A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155A7ABB">
            <w:pPr>
              <w:rPr>
                <w:rFonts w:ascii="Arial"/>
                <w:sz w:val="21"/>
              </w:rPr>
            </w:pPr>
          </w:p>
        </w:tc>
      </w:tr>
      <w:tr w14:paraId="4D336E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62" w:type="dxa"/>
            <w:vAlign w:val="top"/>
          </w:tcPr>
          <w:p w14:paraId="0CE005B1">
            <w:pPr>
              <w:spacing w:before="151" w:line="189" w:lineRule="auto"/>
              <w:ind w:left="28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2680" w:type="dxa"/>
            <w:vAlign w:val="top"/>
          </w:tcPr>
          <w:p w14:paraId="774E6079">
            <w:pPr>
              <w:spacing w:before="113" w:line="222" w:lineRule="auto"/>
              <w:ind w:left="48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归还专项债券本金</w:t>
            </w:r>
          </w:p>
        </w:tc>
        <w:tc>
          <w:tcPr>
            <w:tcW w:w="1150" w:type="dxa"/>
            <w:vAlign w:val="top"/>
          </w:tcPr>
          <w:p w14:paraId="340EEEBF">
            <w:pPr>
              <w:spacing w:before="151" w:line="189" w:lineRule="auto"/>
              <w:ind w:left="16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48000.00</w:t>
            </w:r>
          </w:p>
        </w:tc>
        <w:tc>
          <w:tcPr>
            <w:tcW w:w="1040" w:type="dxa"/>
            <w:vAlign w:val="top"/>
          </w:tcPr>
          <w:p w14:paraId="0A995B2F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6C79D771">
            <w:pPr>
              <w:rPr>
                <w:rFonts w:ascii="Arial"/>
                <w:sz w:val="21"/>
              </w:rPr>
            </w:pPr>
          </w:p>
        </w:tc>
        <w:tc>
          <w:tcPr>
            <w:tcW w:w="1040" w:type="dxa"/>
            <w:vAlign w:val="top"/>
          </w:tcPr>
          <w:p w14:paraId="256A7F5D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55C1F530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552FDD87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4600AE56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7233D37D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312B1DC5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64D6874C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509E858F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745AD6FC">
            <w:pPr>
              <w:rPr>
                <w:rFonts w:ascii="Arial"/>
                <w:sz w:val="21"/>
              </w:rPr>
            </w:pPr>
          </w:p>
        </w:tc>
      </w:tr>
      <w:tr w14:paraId="5A6920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62" w:type="dxa"/>
            <w:vAlign w:val="top"/>
          </w:tcPr>
          <w:p w14:paraId="3E2FBBB3">
            <w:pPr>
              <w:spacing w:before="150" w:line="189" w:lineRule="auto"/>
              <w:ind w:left="27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2680" w:type="dxa"/>
            <w:vAlign w:val="top"/>
          </w:tcPr>
          <w:p w14:paraId="3FB3C0E2">
            <w:pPr>
              <w:spacing w:before="114" w:line="222" w:lineRule="auto"/>
              <w:ind w:left="48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归还专项债券利息</w:t>
            </w:r>
          </w:p>
        </w:tc>
        <w:tc>
          <w:tcPr>
            <w:tcW w:w="1150" w:type="dxa"/>
            <w:vAlign w:val="top"/>
          </w:tcPr>
          <w:p w14:paraId="320424D6">
            <w:pPr>
              <w:spacing w:before="150" w:line="189" w:lineRule="auto"/>
              <w:ind w:left="16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30346.67</w:t>
            </w:r>
          </w:p>
        </w:tc>
        <w:tc>
          <w:tcPr>
            <w:tcW w:w="1040" w:type="dxa"/>
            <w:vAlign w:val="top"/>
          </w:tcPr>
          <w:p w14:paraId="6065A628">
            <w:pPr>
              <w:spacing w:before="150" w:line="189" w:lineRule="auto"/>
              <w:ind w:left="22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266.67</w:t>
            </w:r>
          </w:p>
        </w:tc>
        <w:tc>
          <w:tcPr>
            <w:tcW w:w="1041" w:type="dxa"/>
            <w:vAlign w:val="top"/>
          </w:tcPr>
          <w:p w14:paraId="3421AA04">
            <w:pPr>
              <w:spacing w:before="150" w:line="189" w:lineRule="auto"/>
              <w:ind w:left="18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1280.00</w:t>
            </w:r>
          </w:p>
        </w:tc>
        <w:tc>
          <w:tcPr>
            <w:tcW w:w="1040" w:type="dxa"/>
            <w:vAlign w:val="top"/>
          </w:tcPr>
          <w:p w14:paraId="599B8B13">
            <w:pPr>
              <w:spacing w:before="150" w:line="189" w:lineRule="auto"/>
              <w:ind w:left="22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896.00</w:t>
            </w:r>
          </w:p>
        </w:tc>
        <w:tc>
          <w:tcPr>
            <w:tcW w:w="931" w:type="dxa"/>
            <w:vAlign w:val="top"/>
          </w:tcPr>
          <w:p w14:paraId="1CD0C144">
            <w:pPr>
              <w:spacing w:before="150" w:line="189" w:lineRule="auto"/>
              <w:ind w:left="17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640.00</w:t>
            </w:r>
          </w:p>
        </w:tc>
        <w:tc>
          <w:tcPr>
            <w:tcW w:w="931" w:type="dxa"/>
            <w:vAlign w:val="top"/>
          </w:tcPr>
          <w:p w14:paraId="0992374F">
            <w:pPr>
              <w:spacing w:before="150" w:line="189" w:lineRule="auto"/>
              <w:ind w:left="13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1536.00</w:t>
            </w:r>
          </w:p>
        </w:tc>
        <w:tc>
          <w:tcPr>
            <w:tcW w:w="931" w:type="dxa"/>
            <w:vAlign w:val="top"/>
          </w:tcPr>
          <w:p w14:paraId="244353C7">
            <w:pPr>
              <w:spacing w:before="150" w:line="189" w:lineRule="auto"/>
              <w:ind w:left="13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3996FDB3">
            <w:pPr>
              <w:spacing w:before="150" w:line="189" w:lineRule="auto"/>
              <w:ind w:left="18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44B887C5">
            <w:pPr>
              <w:spacing w:before="150" w:line="189" w:lineRule="auto"/>
              <w:ind w:left="18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66D4BC6C">
            <w:pPr>
              <w:spacing w:before="150" w:line="189" w:lineRule="auto"/>
              <w:ind w:left="18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5A74D6B0">
            <w:pPr>
              <w:spacing w:before="150" w:line="189" w:lineRule="auto"/>
              <w:ind w:left="18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1536.00</w:t>
            </w:r>
          </w:p>
        </w:tc>
        <w:tc>
          <w:tcPr>
            <w:tcW w:w="1045" w:type="dxa"/>
            <w:vAlign w:val="top"/>
          </w:tcPr>
          <w:p w14:paraId="7D73A6D0">
            <w:pPr>
              <w:spacing w:before="150" w:line="189" w:lineRule="auto"/>
              <w:ind w:left="18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1536.00</w:t>
            </w:r>
          </w:p>
        </w:tc>
      </w:tr>
      <w:tr w14:paraId="581C09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62" w:type="dxa"/>
            <w:vAlign w:val="top"/>
          </w:tcPr>
          <w:p w14:paraId="458980C0">
            <w:pPr>
              <w:spacing w:before="150" w:line="195" w:lineRule="auto"/>
              <w:ind w:left="126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b/>
                <w:bCs/>
                <w:spacing w:val="-2"/>
                <w:sz w:val="19"/>
                <w:szCs w:val="19"/>
              </w:rPr>
              <w:t>三</w:t>
            </w:r>
          </w:p>
        </w:tc>
        <w:tc>
          <w:tcPr>
            <w:tcW w:w="2680" w:type="dxa"/>
            <w:vAlign w:val="top"/>
          </w:tcPr>
          <w:p w14:paraId="49E27BE1">
            <w:pPr>
              <w:spacing w:before="113" w:line="223" w:lineRule="auto"/>
              <w:ind w:left="71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2"/>
                <w:szCs w:val="22"/>
              </w:rPr>
              <w:t>当年资金结余</w:t>
            </w:r>
          </w:p>
        </w:tc>
        <w:tc>
          <w:tcPr>
            <w:tcW w:w="1150" w:type="dxa"/>
            <w:vAlign w:val="top"/>
          </w:tcPr>
          <w:p w14:paraId="506BCF88">
            <w:pPr>
              <w:spacing w:before="151" w:line="189" w:lineRule="auto"/>
              <w:ind w:left="16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49339.07</w:t>
            </w:r>
          </w:p>
        </w:tc>
        <w:tc>
          <w:tcPr>
            <w:tcW w:w="1040" w:type="dxa"/>
            <w:vAlign w:val="top"/>
          </w:tcPr>
          <w:p w14:paraId="3FC091F3">
            <w:pPr>
              <w:spacing w:before="151" w:line="189" w:lineRule="auto"/>
              <w:ind w:left="33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0.00</w:t>
            </w:r>
          </w:p>
        </w:tc>
        <w:tc>
          <w:tcPr>
            <w:tcW w:w="1041" w:type="dxa"/>
            <w:vAlign w:val="top"/>
          </w:tcPr>
          <w:p w14:paraId="22DB6B94">
            <w:pPr>
              <w:spacing w:before="151" w:line="189" w:lineRule="auto"/>
              <w:ind w:left="33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0.00</w:t>
            </w:r>
          </w:p>
        </w:tc>
        <w:tc>
          <w:tcPr>
            <w:tcW w:w="1040" w:type="dxa"/>
            <w:vAlign w:val="top"/>
          </w:tcPr>
          <w:p w14:paraId="241C2EA7">
            <w:pPr>
              <w:spacing w:before="151" w:line="189" w:lineRule="auto"/>
              <w:ind w:left="33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0.00</w:t>
            </w:r>
          </w:p>
        </w:tc>
        <w:tc>
          <w:tcPr>
            <w:tcW w:w="931" w:type="dxa"/>
            <w:vAlign w:val="top"/>
          </w:tcPr>
          <w:p w14:paraId="5B186795">
            <w:pPr>
              <w:spacing w:before="151" w:line="189" w:lineRule="auto"/>
              <w:ind w:left="12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1090.26</w:t>
            </w:r>
          </w:p>
        </w:tc>
        <w:tc>
          <w:tcPr>
            <w:tcW w:w="931" w:type="dxa"/>
            <w:vAlign w:val="top"/>
          </w:tcPr>
          <w:p w14:paraId="26DC4532">
            <w:pPr>
              <w:spacing w:before="151" w:line="189" w:lineRule="auto"/>
              <w:ind w:left="11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3061.89</w:t>
            </w:r>
          </w:p>
        </w:tc>
        <w:tc>
          <w:tcPr>
            <w:tcW w:w="931" w:type="dxa"/>
            <w:vAlign w:val="top"/>
          </w:tcPr>
          <w:p w14:paraId="09BD1038">
            <w:pPr>
              <w:spacing w:before="151" w:line="189" w:lineRule="auto"/>
              <w:ind w:left="11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3338.05</w:t>
            </w:r>
          </w:p>
        </w:tc>
        <w:tc>
          <w:tcPr>
            <w:tcW w:w="1041" w:type="dxa"/>
            <w:vAlign w:val="top"/>
          </w:tcPr>
          <w:p w14:paraId="00958BBE">
            <w:pPr>
              <w:spacing w:before="151" w:line="189" w:lineRule="auto"/>
              <w:ind w:left="16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4064.52</w:t>
            </w:r>
          </w:p>
        </w:tc>
        <w:tc>
          <w:tcPr>
            <w:tcW w:w="1041" w:type="dxa"/>
            <w:vAlign w:val="top"/>
          </w:tcPr>
          <w:p w14:paraId="3BC965E4">
            <w:pPr>
              <w:spacing w:before="151" w:line="189" w:lineRule="auto"/>
              <w:ind w:left="16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4367.70</w:t>
            </w:r>
          </w:p>
        </w:tc>
        <w:tc>
          <w:tcPr>
            <w:tcW w:w="1041" w:type="dxa"/>
            <w:vAlign w:val="top"/>
          </w:tcPr>
          <w:p w14:paraId="13AE4AA2">
            <w:pPr>
              <w:spacing w:before="151" w:line="189" w:lineRule="auto"/>
              <w:ind w:left="16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4367.70</w:t>
            </w:r>
          </w:p>
        </w:tc>
        <w:tc>
          <w:tcPr>
            <w:tcW w:w="1041" w:type="dxa"/>
            <w:vAlign w:val="top"/>
          </w:tcPr>
          <w:p w14:paraId="7D9E4276">
            <w:pPr>
              <w:spacing w:before="151" w:line="189" w:lineRule="auto"/>
              <w:ind w:left="16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4892.63</w:t>
            </w:r>
          </w:p>
        </w:tc>
        <w:tc>
          <w:tcPr>
            <w:tcW w:w="1045" w:type="dxa"/>
            <w:vAlign w:val="top"/>
          </w:tcPr>
          <w:p w14:paraId="3A7EB64F">
            <w:pPr>
              <w:spacing w:before="151" w:line="189" w:lineRule="auto"/>
              <w:ind w:left="16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4854.64</w:t>
            </w:r>
          </w:p>
        </w:tc>
      </w:tr>
      <w:tr w14:paraId="63213E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662" w:type="dxa"/>
            <w:vAlign w:val="top"/>
          </w:tcPr>
          <w:p w14:paraId="1674283A">
            <w:pPr>
              <w:spacing w:before="126" w:line="251" w:lineRule="exact"/>
              <w:ind w:left="144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b/>
                <w:bCs/>
                <w:spacing w:val="-2"/>
                <w:position w:val="1"/>
                <w:sz w:val="19"/>
                <w:szCs w:val="19"/>
              </w:rPr>
              <w:t>四</w:t>
            </w:r>
          </w:p>
        </w:tc>
        <w:tc>
          <w:tcPr>
            <w:tcW w:w="2680" w:type="dxa"/>
            <w:vAlign w:val="top"/>
          </w:tcPr>
          <w:p w14:paraId="2845D6A6">
            <w:pPr>
              <w:spacing w:before="115" w:line="223" w:lineRule="auto"/>
              <w:ind w:left="4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4"/>
                <w:sz w:val="22"/>
                <w:szCs w:val="22"/>
              </w:rPr>
              <w:t>期末累计资金结余</w:t>
            </w:r>
          </w:p>
        </w:tc>
        <w:tc>
          <w:tcPr>
            <w:tcW w:w="1150" w:type="dxa"/>
            <w:vAlign w:val="top"/>
          </w:tcPr>
          <w:p w14:paraId="2FC5694F">
            <w:pPr>
              <w:spacing w:before="150" w:line="189" w:lineRule="auto"/>
              <w:ind w:left="16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49339.07</w:t>
            </w:r>
          </w:p>
        </w:tc>
        <w:tc>
          <w:tcPr>
            <w:tcW w:w="1040" w:type="dxa"/>
            <w:vAlign w:val="top"/>
          </w:tcPr>
          <w:p w14:paraId="1553AC6A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189E2B1B">
            <w:pPr>
              <w:rPr>
                <w:rFonts w:ascii="Arial"/>
                <w:sz w:val="21"/>
              </w:rPr>
            </w:pPr>
          </w:p>
        </w:tc>
        <w:tc>
          <w:tcPr>
            <w:tcW w:w="1040" w:type="dxa"/>
            <w:vAlign w:val="top"/>
          </w:tcPr>
          <w:p w14:paraId="4ABDFBC0">
            <w:pPr>
              <w:rPr>
                <w:rFonts w:ascii="Arial"/>
                <w:sz w:val="21"/>
              </w:rPr>
            </w:pPr>
          </w:p>
        </w:tc>
        <w:tc>
          <w:tcPr>
            <w:tcW w:w="931" w:type="dxa"/>
            <w:vAlign w:val="top"/>
          </w:tcPr>
          <w:p w14:paraId="10239A39">
            <w:pPr>
              <w:spacing w:before="150" w:line="189" w:lineRule="auto"/>
              <w:ind w:left="12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1090.26</w:t>
            </w:r>
          </w:p>
        </w:tc>
        <w:tc>
          <w:tcPr>
            <w:tcW w:w="931" w:type="dxa"/>
            <w:vAlign w:val="top"/>
          </w:tcPr>
          <w:p w14:paraId="16879CF2">
            <w:pPr>
              <w:spacing w:before="150" w:line="189" w:lineRule="auto"/>
              <w:ind w:left="11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4152.15</w:t>
            </w:r>
          </w:p>
        </w:tc>
        <w:tc>
          <w:tcPr>
            <w:tcW w:w="931" w:type="dxa"/>
            <w:vAlign w:val="top"/>
          </w:tcPr>
          <w:p w14:paraId="72C9543D">
            <w:pPr>
              <w:spacing w:before="150" w:line="189" w:lineRule="auto"/>
              <w:ind w:left="11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7490.20</w:t>
            </w:r>
          </w:p>
        </w:tc>
        <w:tc>
          <w:tcPr>
            <w:tcW w:w="1041" w:type="dxa"/>
            <w:vAlign w:val="top"/>
          </w:tcPr>
          <w:p w14:paraId="6DE69DBE">
            <w:pPr>
              <w:spacing w:before="150" w:line="189" w:lineRule="auto"/>
              <w:ind w:left="12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11554.72</w:t>
            </w:r>
          </w:p>
        </w:tc>
        <w:tc>
          <w:tcPr>
            <w:tcW w:w="1041" w:type="dxa"/>
            <w:vAlign w:val="top"/>
          </w:tcPr>
          <w:p w14:paraId="63930699">
            <w:pPr>
              <w:spacing w:before="150" w:line="189" w:lineRule="auto"/>
              <w:ind w:left="12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15922.42</w:t>
            </w:r>
          </w:p>
        </w:tc>
        <w:tc>
          <w:tcPr>
            <w:tcW w:w="1041" w:type="dxa"/>
            <w:vAlign w:val="top"/>
          </w:tcPr>
          <w:p w14:paraId="278C770B">
            <w:pPr>
              <w:spacing w:before="150" w:line="189" w:lineRule="auto"/>
              <w:ind w:left="11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20290.12</w:t>
            </w:r>
          </w:p>
        </w:tc>
        <w:tc>
          <w:tcPr>
            <w:tcW w:w="1041" w:type="dxa"/>
            <w:vAlign w:val="top"/>
          </w:tcPr>
          <w:p w14:paraId="39C36033">
            <w:pPr>
              <w:spacing w:before="150" w:line="189" w:lineRule="auto"/>
              <w:ind w:left="11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25182.75</w:t>
            </w:r>
          </w:p>
        </w:tc>
        <w:tc>
          <w:tcPr>
            <w:tcW w:w="1045" w:type="dxa"/>
            <w:vAlign w:val="top"/>
          </w:tcPr>
          <w:p w14:paraId="292AD148">
            <w:pPr>
              <w:spacing w:before="150" w:line="189" w:lineRule="auto"/>
              <w:ind w:left="11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30037.39</w:t>
            </w:r>
          </w:p>
        </w:tc>
      </w:tr>
    </w:tbl>
    <w:p w14:paraId="115F4D9F">
      <w:pPr>
        <w:spacing w:line="177" w:lineRule="exact"/>
        <w:rPr>
          <w:rFonts w:ascii="Arial"/>
          <w:sz w:val="15"/>
        </w:rPr>
      </w:pPr>
    </w:p>
    <w:p w14:paraId="6C0AF7F6">
      <w:pPr>
        <w:spacing w:line="177" w:lineRule="exact"/>
        <w:rPr>
          <w:rFonts w:ascii="Arial" w:hAnsi="Arial" w:eastAsia="Arial" w:cs="Arial"/>
          <w:sz w:val="15"/>
          <w:szCs w:val="15"/>
        </w:rPr>
        <w:sectPr>
          <w:footerReference r:id="rId10" w:type="default"/>
          <w:pgSz w:w="16839" w:h="11906"/>
          <w:pgMar w:top="1012" w:right="610" w:bottom="1315" w:left="607" w:header="0" w:footer="950" w:gutter="0"/>
          <w:cols w:space="720" w:num="1"/>
        </w:sectPr>
      </w:pPr>
    </w:p>
    <w:p w14:paraId="0FBD5A88">
      <w:pPr>
        <w:spacing w:line="328" w:lineRule="auto"/>
        <w:rPr>
          <w:rFonts w:ascii="Arial"/>
          <w:sz w:val="21"/>
        </w:rPr>
      </w:pPr>
    </w:p>
    <w:p w14:paraId="5D30BFC2">
      <w:pPr>
        <w:spacing w:line="329" w:lineRule="auto"/>
        <w:rPr>
          <w:rFonts w:ascii="Arial"/>
          <w:sz w:val="21"/>
        </w:rPr>
      </w:pPr>
    </w:p>
    <w:p w14:paraId="63C0CD48">
      <w:pPr>
        <w:spacing w:before="65" w:line="223" w:lineRule="auto"/>
        <w:ind w:left="6497"/>
        <w:rPr>
          <w:rFonts w:ascii="Calibri" w:hAnsi="Calibri" w:eastAsia="Calibri" w:cs="Calibri"/>
          <w:sz w:val="20"/>
          <w:szCs w:val="20"/>
        </w:rPr>
      </w:pP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资金测算平衡表</w:t>
      </w:r>
      <w:r>
        <w:rPr>
          <w:rFonts w:ascii="Calibri" w:hAnsi="Calibri" w:eastAsia="Calibri" w:cs="Calibri"/>
          <w:b/>
          <w:bCs/>
          <w:spacing w:val="6"/>
          <w:sz w:val="20"/>
          <w:szCs w:val="20"/>
        </w:rPr>
        <w:t>(</w:t>
      </w: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单位：万元</w:t>
      </w:r>
      <w:r>
        <w:rPr>
          <w:rFonts w:ascii="Calibri" w:hAnsi="Calibri" w:eastAsia="Calibri" w:cs="Calibri"/>
          <w:b/>
          <w:bCs/>
          <w:spacing w:val="6"/>
          <w:sz w:val="20"/>
          <w:szCs w:val="20"/>
        </w:rPr>
        <w:t>)</w:t>
      </w:r>
    </w:p>
    <w:p w14:paraId="1B7E55C5">
      <w:pPr>
        <w:spacing w:before="27"/>
      </w:pPr>
    </w:p>
    <w:tbl>
      <w:tblPr>
        <w:tblStyle w:val="5"/>
        <w:tblW w:w="1561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163"/>
        <w:gridCol w:w="1150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114"/>
        <w:gridCol w:w="1114"/>
        <w:gridCol w:w="1045"/>
      </w:tblGrid>
      <w:tr w14:paraId="624725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62" w:type="dxa"/>
            <w:vMerge w:val="restart"/>
            <w:tcBorders>
              <w:bottom w:val="nil"/>
            </w:tcBorders>
            <w:vAlign w:val="top"/>
          </w:tcPr>
          <w:p w14:paraId="4AB835B4">
            <w:pPr>
              <w:spacing w:line="444" w:lineRule="auto"/>
              <w:rPr>
                <w:rFonts w:ascii="Arial"/>
                <w:sz w:val="21"/>
              </w:rPr>
            </w:pPr>
          </w:p>
          <w:p w14:paraId="4B5AF997">
            <w:pPr>
              <w:spacing w:before="72" w:line="223" w:lineRule="auto"/>
              <w:ind w:left="12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9"/>
                <w:sz w:val="22"/>
                <w:szCs w:val="22"/>
              </w:rPr>
              <w:t>序号</w:t>
            </w:r>
          </w:p>
        </w:tc>
        <w:tc>
          <w:tcPr>
            <w:tcW w:w="1163" w:type="dxa"/>
            <w:vMerge w:val="restart"/>
            <w:tcBorders>
              <w:bottom w:val="nil"/>
            </w:tcBorders>
            <w:vAlign w:val="top"/>
          </w:tcPr>
          <w:p w14:paraId="43586542">
            <w:pPr>
              <w:spacing w:line="444" w:lineRule="auto"/>
              <w:rPr>
                <w:rFonts w:ascii="Arial"/>
                <w:sz w:val="21"/>
              </w:rPr>
            </w:pPr>
          </w:p>
          <w:p w14:paraId="321F2F56">
            <w:pPr>
              <w:spacing w:before="71" w:line="225" w:lineRule="auto"/>
              <w:ind w:left="37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10"/>
                <w:sz w:val="22"/>
                <w:szCs w:val="22"/>
              </w:rPr>
              <w:t>项目</w:t>
            </w:r>
          </w:p>
        </w:tc>
        <w:tc>
          <w:tcPr>
            <w:tcW w:w="1150" w:type="dxa"/>
            <w:vMerge w:val="restart"/>
            <w:tcBorders>
              <w:bottom w:val="nil"/>
            </w:tcBorders>
            <w:vAlign w:val="top"/>
          </w:tcPr>
          <w:p w14:paraId="3FA8E4B9">
            <w:pPr>
              <w:spacing w:line="444" w:lineRule="auto"/>
              <w:rPr>
                <w:rFonts w:ascii="Arial"/>
                <w:sz w:val="21"/>
              </w:rPr>
            </w:pPr>
          </w:p>
          <w:p w14:paraId="64F985EC">
            <w:pPr>
              <w:spacing w:before="72" w:line="223" w:lineRule="auto"/>
              <w:ind w:left="427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12"/>
                <w:sz w:val="22"/>
                <w:szCs w:val="22"/>
              </w:rPr>
              <w:t>合计</w:t>
            </w:r>
          </w:p>
        </w:tc>
        <w:tc>
          <w:tcPr>
            <w:tcW w:w="12642" w:type="dxa"/>
            <w:gridSpan w:val="12"/>
            <w:vAlign w:val="top"/>
          </w:tcPr>
          <w:p w14:paraId="122B0FC9">
            <w:pPr>
              <w:spacing w:before="173" w:line="221" w:lineRule="auto"/>
              <w:ind w:left="59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运营期</w:t>
            </w:r>
          </w:p>
        </w:tc>
      </w:tr>
      <w:tr w14:paraId="5E78EF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662" w:type="dxa"/>
            <w:vMerge w:val="continue"/>
            <w:tcBorders>
              <w:top w:val="nil"/>
            </w:tcBorders>
            <w:vAlign w:val="top"/>
          </w:tcPr>
          <w:p w14:paraId="6A993827">
            <w:pPr>
              <w:rPr>
                <w:rFonts w:ascii="Arial"/>
                <w:sz w:val="21"/>
              </w:rPr>
            </w:pPr>
          </w:p>
        </w:tc>
        <w:tc>
          <w:tcPr>
            <w:tcW w:w="1163" w:type="dxa"/>
            <w:vMerge w:val="continue"/>
            <w:tcBorders>
              <w:top w:val="nil"/>
            </w:tcBorders>
            <w:vAlign w:val="top"/>
          </w:tcPr>
          <w:p w14:paraId="1A7C2BF1">
            <w:pPr>
              <w:rPr>
                <w:rFonts w:ascii="Arial"/>
                <w:sz w:val="21"/>
              </w:rPr>
            </w:pPr>
          </w:p>
        </w:tc>
        <w:tc>
          <w:tcPr>
            <w:tcW w:w="1150" w:type="dxa"/>
            <w:vMerge w:val="continue"/>
            <w:tcBorders>
              <w:top w:val="nil"/>
            </w:tcBorders>
            <w:vAlign w:val="top"/>
          </w:tcPr>
          <w:p w14:paraId="4B305806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0C15438B">
            <w:pPr>
              <w:spacing w:before="230" w:line="220" w:lineRule="auto"/>
              <w:ind w:left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2035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1041" w:type="dxa"/>
            <w:vAlign w:val="top"/>
          </w:tcPr>
          <w:p w14:paraId="1229976D">
            <w:pPr>
              <w:spacing w:before="230" w:line="220" w:lineRule="auto"/>
              <w:ind w:left="1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2036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1041" w:type="dxa"/>
            <w:vAlign w:val="top"/>
          </w:tcPr>
          <w:p w14:paraId="67B69F45">
            <w:pPr>
              <w:spacing w:before="230" w:line="220" w:lineRule="auto"/>
              <w:ind w:left="1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2037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1041" w:type="dxa"/>
            <w:vAlign w:val="top"/>
          </w:tcPr>
          <w:p w14:paraId="1A9C3D2E">
            <w:pPr>
              <w:spacing w:before="230" w:line="220" w:lineRule="auto"/>
              <w:ind w:left="1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2038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1041" w:type="dxa"/>
            <w:vAlign w:val="top"/>
          </w:tcPr>
          <w:p w14:paraId="17A2EAFC">
            <w:pPr>
              <w:spacing w:before="230" w:line="220" w:lineRule="auto"/>
              <w:ind w:left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2039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1041" w:type="dxa"/>
            <w:vAlign w:val="top"/>
          </w:tcPr>
          <w:p w14:paraId="08CFFC97">
            <w:pPr>
              <w:spacing w:before="230" w:line="220" w:lineRule="auto"/>
              <w:ind w:left="1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2040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1041" w:type="dxa"/>
            <w:vAlign w:val="top"/>
          </w:tcPr>
          <w:p w14:paraId="65D356F7">
            <w:pPr>
              <w:spacing w:before="230" w:line="220" w:lineRule="auto"/>
              <w:ind w:left="16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2041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1041" w:type="dxa"/>
            <w:vAlign w:val="top"/>
          </w:tcPr>
          <w:p w14:paraId="0B63EF69">
            <w:pPr>
              <w:spacing w:before="230" w:line="220" w:lineRule="auto"/>
              <w:ind w:left="16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2042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1041" w:type="dxa"/>
            <w:vAlign w:val="top"/>
          </w:tcPr>
          <w:p w14:paraId="4E923C92">
            <w:pPr>
              <w:spacing w:before="230" w:line="220" w:lineRule="auto"/>
              <w:ind w:left="16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2043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1114" w:type="dxa"/>
            <w:vAlign w:val="top"/>
          </w:tcPr>
          <w:p w14:paraId="7CE9F06B">
            <w:pPr>
              <w:spacing w:before="230" w:line="220" w:lineRule="auto"/>
              <w:ind w:left="20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2044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1114" w:type="dxa"/>
            <w:vAlign w:val="top"/>
          </w:tcPr>
          <w:p w14:paraId="6CD03AC2">
            <w:pPr>
              <w:spacing w:before="230" w:line="220" w:lineRule="auto"/>
              <w:ind w:left="20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2045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  <w:tc>
          <w:tcPr>
            <w:tcW w:w="1045" w:type="dxa"/>
            <w:vAlign w:val="top"/>
          </w:tcPr>
          <w:p w14:paraId="11F2589B">
            <w:pPr>
              <w:spacing w:before="230" w:line="220" w:lineRule="auto"/>
              <w:ind w:left="16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2046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年</w:t>
            </w:r>
          </w:p>
        </w:tc>
      </w:tr>
      <w:tr w14:paraId="6C3477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62" w:type="dxa"/>
            <w:vAlign w:val="top"/>
          </w:tcPr>
          <w:p w14:paraId="74D67AD2">
            <w:pPr>
              <w:spacing w:before="199" w:line="164" w:lineRule="exact"/>
              <w:ind w:left="23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position w:val="-4"/>
                <w:sz w:val="22"/>
                <w:szCs w:val="22"/>
              </w:rPr>
              <w:t>一</w:t>
            </w:r>
          </w:p>
        </w:tc>
        <w:tc>
          <w:tcPr>
            <w:tcW w:w="1163" w:type="dxa"/>
            <w:vAlign w:val="top"/>
          </w:tcPr>
          <w:p w14:paraId="362EF270">
            <w:pPr>
              <w:spacing w:before="109" w:line="225" w:lineRule="auto"/>
              <w:ind w:left="16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2"/>
                <w:szCs w:val="22"/>
              </w:rPr>
              <w:t>资金流入</w:t>
            </w:r>
          </w:p>
        </w:tc>
        <w:tc>
          <w:tcPr>
            <w:tcW w:w="1150" w:type="dxa"/>
            <w:vAlign w:val="top"/>
          </w:tcPr>
          <w:p w14:paraId="255C8EED">
            <w:pPr>
              <w:spacing w:before="148" w:line="189" w:lineRule="auto"/>
              <w:ind w:left="11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186243.07</w:t>
            </w:r>
          </w:p>
        </w:tc>
        <w:tc>
          <w:tcPr>
            <w:tcW w:w="1041" w:type="dxa"/>
            <w:vAlign w:val="top"/>
          </w:tcPr>
          <w:p w14:paraId="5B883B5A">
            <w:pPr>
              <w:spacing w:before="148" w:line="189" w:lineRule="auto"/>
              <w:ind w:left="16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5800.56</w:t>
            </w:r>
          </w:p>
        </w:tc>
        <w:tc>
          <w:tcPr>
            <w:tcW w:w="1041" w:type="dxa"/>
            <w:vAlign w:val="top"/>
          </w:tcPr>
          <w:p w14:paraId="4C27CB9A">
            <w:pPr>
              <w:spacing w:before="148" w:line="189" w:lineRule="auto"/>
              <w:ind w:left="16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6315.71</w:t>
            </w:r>
          </w:p>
        </w:tc>
        <w:tc>
          <w:tcPr>
            <w:tcW w:w="1041" w:type="dxa"/>
            <w:vAlign w:val="top"/>
          </w:tcPr>
          <w:p w14:paraId="2D53F784">
            <w:pPr>
              <w:spacing w:before="148" w:line="189" w:lineRule="auto"/>
              <w:ind w:left="16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6315.71</w:t>
            </w:r>
          </w:p>
        </w:tc>
        <w:tc>
          <w:tcPr>
            <w:tcW w:w="1041" w:type="dxa"/>
            <w:vAlign w:val="top"/>
          </w:tcPr>
          <w:p w14:paraId="04C8037F">
            <w:pPr>
              <w:spacing w:before="148" w:line="189" w:lineRule="auto"/>
              <w:ind w:left="16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6315.71</w:t>
            </w:r>
          </w:p>
        </w:tc>
        <w:tc>
          <w:tcPr>
            <w:tcW w:w="1041" w:type="dxa"/>
            <w:vAlign w:val="top"/>
          </w:tcPr>
          <w:p w14:paraId="7AD4A70A">
            <w:pPr>
              <w:spacing w:before="148" w:line="189" w:lineRule="auto"/>
              <w:ind w:left="16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6882.34</w:t>
            </w:r>
          </w:p>
        </w:tc>
        <w:tc>
          <w:tcPr>
            <w:tcW w:w="1041" w:type="dxa"/>
            <w:vAlign w:val="top"/>
          </w:tcPr>
          <w:p w14:paraId="2BF03A69">
            <w:pPr>
              <w:spacing w:before="148" w:line="189" w:lineRule="auto"/>
              <w:ind w:left="16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6882.34</w:t>
            </w:r>
          </w:p>
        </w:tc>
        <w:tc>
          <w:tcPr>
            <w:tcW w:w="1041" w:type="dxa"/>
            <w:vAlign w:val="top"/>
          </w:tcPr>
          <w:p w14:paraId="7155D1DB">
            <w:pPr>
              <w:spacing w:before="148" w:line="189" w:lineRule="auto"/>
              <w:ind w:left="16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6882.34</w:t>
            </w:r>
          </w:p>
        </w:tc>
        <w:tc>
          <w:tcPr>
            <w:tcW w:w="1041" w:type="dxa"/>
            <w:vAlign w:val="top"/>
          </w:tcPr>
          <w:p w14:paraId="6BAAA6B4">
            <w:pPr>
              <w:spacing w:before="148" w:line="189" w:lineRule="auto"/>
              <w:ind w:left="16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7505.59</w:t>
            </w:r>
          </w:p>
        </w:tc>
        <w:tc>
          <w:tcPr>
            <w:tcW w:w="1041" w:type="dxa"/>
            <w:vAlign w:val="top"/>
          </w:tcPr>
          <w:p w14:paraId="3687C6EE">
            <w:pPr>
              <w:spacing w:before="148" w:line="189" w:lineRule="auto"/>
              <w:ind w:left="16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7505.59</w:t>
            </w:r>
          </w:p>
        </w:tc>
        <w:tc>
          <w:tcPr>
            <w:tcW w:w="1114" w:type="dxa"/>
            <w:vAlign w:val="top"/>
          </w:tcPr>
          <w:p w14:paraId="209C220B">
            <w:pPr>
              <w:spacing w:before="148" w:line="189" w:lineRule="auto"/>
              <w:ind w:left="20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7505.59</w:t>
            </w:r>
          </w:p>
        </w:tc>
        <w:tc>
          <w:tcPr>
            <w:tcW w:w="1114" w:type="dxa"/>
            <w:vAlign w:val="top"/>
          </w:tcPr>
          <w:p w14:paraId="78A5624E">
            <w:pPr>
              <w:spacing w:before="148" w:line="189" w:lineRule="auto"/>
              <w:ind w:left="20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8031.10</w:t>
            </w:r>
          </w:p>
        </w:tc>
        <w:tc>
          <w:tcPr>
            <w:tcW w:w="1045" w:type="dxa"/>
            <w:vAlign w:val="top"/>
          </w:tcPr>
          <w:p w14:paraId="6B87CDF3">
            <w:pPr>
              <w:spacing w:before="148" w:line="189" w:lineRule="auto"/>
              <w:ind w:left="17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7871.10</w:t>
            </w:r>
          </w:p>
        </w:tc>
      </w:tr>
      <w:tr w14:paraId="5912EB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74" w:hRule="atLeast"/>
        </w:trPr>
        <w:tc>
          <w:tcPr>
            <w:tcW w:w="662" w:type="dxa"/>
            <w:vAlign w:val="top"/>
          </w:tcPr>
          <w:p w14:paraId="63F4D936">
            <w:pPr>
              <w:spacing w:line="298" w:lineRule="auto"/>
              <w:rPr>
                <w:rFonts w:ascii="Arial"/>
                <w:sz w:val="21"/>
              </w:rPr>
            </w:pPr>
          </w:p>
          <w:p w14:paraId="43EB3670">
            <w:pPr>
              <w:spacing w:before="63" w:line="189" w:lineRule="auto"/>
              <w:ind w:left="29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1163" w:type="dxa"/>
            <w:vAlign w:val="top"/>
          </w:tcPr>
          <w:p w14:paraId="4DF4483F">
            <w:pPr>
              <w:spacing w:before="108" w:line="317" w:lineRule="auto"/>
              <w:ind w:left="482" w:right="140" w:hanging="33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项目资本</w:t>
            </w:r>
            <w:r>
              <w:rPr>
                <w:rFonts w:ascii="仿宋" w:hAnsi="仿宋" w:eastAsia="仿宋" w:cs="仿宋"/>
                <w:sz w:val="22"/>
                <w:szCs w:val="22"/>
              </w:rPr>
              <w:t>金</w:t>
            </w:r>
          </w:p>
        </w:tc>
        <w:tc>
          <w:tcPr>
            <w:tcW w:w="1150" w:type="dxa"/>
            <w:vAlign w:val="top"/>
          </w:tcPr>
          <w:p w14:paraId="7FEBE1F6">
            <w:pPr>
              <w:spacing w:line="297" w:lineRule="auto"/>
              <w:rPr>
                <w:rFonts w:ascii="Arial"/>
                <w:sz w:val="21"/>
              </w:rPr>
            </w:pPr>
          </w:p>
          <w:p w14:paraId="3ADF24F0">
            <w:pPr>
              <w:spacing w:before="64" w:line="189" w:lineRule="auto"/>
              <w:ind w:left="17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13000.00</w:t>
            </w:r>
          </w:p>
        </w:tc>
        <w:tc>
          <w:tcPr>
            <w:tcW w:w="1041" w:type="dxa"/>
            <w:vAlign w:val="top"/>
          </w:tcPr>
          <w:p w14:paraId="53225654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3D6C8A73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013D71C4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08FA269B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51B47A77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2A0E993C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4A89E364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7FBC7C8F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25C12D88">
            <w:pPr>
              <w:rPr>
                <w:rFonts w:ascii="Arial"/>
                <w:sz w:val="21"/>
              </w:rPr>
            </w:pPr>
          </w:p>
        </w:tc>
        <w:tc>
          <w:tcPr>
            <w:tcW w:w="1114" w:type="dxa"/>
            <w:vAlign w:val="top"/>
          </w:tcPr>
          <w:p w14:paraId="36E726AE">
            <w:pPr>
              <w:rPr>
                <w:rFonts w:ascii="Arial"/>
                <w:sz w:val="21"/>
              </w:rPr>
            </w:pPr>
          </w:p>
        </w:tc>
        <w:tc>
          <w:tcPr>
            <w:tcW w:w="1114" w:type="dxa"/>
            <w:vAlign w:val="top"/>
          </w:tcPr>
          <w:p w14:paraId="74A4FEDE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6042A918">
            <w:pPr>
              <w:rPr>
                <w:rFonts w:ascii="Arial"/>
                <w:sz w:val="21"/>
              </w:rPr>
            </w:pPr>
          </w:p>
        </w:tc>
      </w:tr>
      <w:tr w14:paraId="7449CE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62" w:type="dxa"/>
            <w:vAlign w:val="top"/>
          </w:tcPr>
          <w:p w14:paraId="20A6ACAC">
            <w:pPr>
              <w:spacing w:before="148" w:line="189" w:lineRule="auto"/>
              <w:ind w:left="21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22"/>
                <w:szCs w:val="22"/>
              </w:rPr>
              <w:t>1.1</w:t>
            </w:r>
          </w:p>
        </w:tc>
        <w:tc>
          <w:tcPr>
            <w:tcW w:w="1163" w:type="dxa"/>
            <w:vAlign w:val="top"/>
          </w:tcPr>
          <w:p w14:paraId="68DCD59D">
            <w:pPr>
              <w:spacing w:before="112" w:line="225" w:lineRule="auto"/>
              <w:ind w:left="15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企业自筹</w:t>
            </w:r>
          </w:p>
        </w:tc>
        <w:tc>
          <w:tcPr>
            <w:tcW w:w="1150" w:type="dxa"/>
            <w:vAlign w:val="top"/>
          </w:tcPr>
          <w:p w14:paraId="56EDD7B0">
            <w:pPr>
              <w:spacing w:before="148" w:line="189" w:lineRule="auto"/>
              <w:ind w:left="17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13000.00</w:t>
            </w:r>
          </w:p>
        </w:tc>
        <w:tc>
          <w:tcPr>
            <w:tcW w:w="1041" w:type="dxa"/>
            <w:vAlign w:val="top"/>
          </w:tcPr>
          <w:p w14:paraId="75C34AF6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7BE27CDD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3C78F77B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760C8A71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0EAD63A8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5B2F0037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4ECE9256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3F45EDE0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22BCCEF6">
            <w:pPr>
              <w:rPr>
                <w:rFonts w:ascii="Arial"/>
                <w:sz w:val="21"/>
              </w:rPr>
            </w:pPr>
          </w:p>
        </w:tc>
        <w:tc>
          <w:tcPr>
            <w:tcW w:w="1114" w:type="dxa"/>
            <w:vAlign w:val="top"/>
          </w:tcPr>
          <w:p w14:paraId="5EF11258">
            <w:pPr>
              <w:rPr>
                <w:rFonts w:ascii="Arial"/>
                <w:sz w:val="21"/>
              </w:rPr>
            </w:pPr>
          </w:p>
        </w:tc>
        <w:tc>
          <w:tcPr>
            <w:tcW w:w="1114" w:type="dxa"/>
            <w:vAlign w:val="top"/>
          </w:tcPr>
          <w:p w14:paraId="6D3D8801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6E7EF7B9">
            <w:pPr>
              <w:rPr>
                <w:rFonts w:ascii="Arial"/>
                <w:sz w:val="21"/>
              </w:rPr>
            </w:pPr>
          </w:p>
        </w:tc>
      </w:tr>
      <w:tr w14:paraId="119EB2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62" w:type="dxa"/>
            <w:vAlign w:val="top"/>
          </w:tcPr>
          <w:p w14:paraId="1CD5793E">
            <w:pPr>
              <w:spacing w:before="150" w:line="189" w:lineRule="auto"/>
              <w:ind w:left="27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1163" w:type="dxa"/>
            <w:vAlign w:val="top"/>
          </w:tcPr>
          <w:p w14:paraId="7FC739A4">
            <w:pPr>
              <w:spacing w:before="111" w:line="222" w:lineRule="auto"/>
              <w:ind w:left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5"/>
                <w:sz w:val="22"/>
                <w:szCs w:val="22"/>
              </w:rPr>
              <w:t>专项债券</w:t>
            </w:r>
          </w:p>
        </w:tc>
        <w:tc>
          <w:tcPr>
            <w:tcW w:w="1150" w:type="dxa"/>
            <w:vAlign w:val="top"/>
          </w:tcPr>
          <w:p w14:paraId="3AFEDFD5">
            <w:pPr>
              <w:spacing w:before="150" w:line="189" w:lineRule="auto"/>
              <w:ind w:left="16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48000.00</w:t>
            </w:r>
          </w:p>
        </w:tc>
        <w:tc>
          <w:tcPr>
            <w:tcW w:w="1041" w:type="dxa"/>
            <w:vAlign w:val="top"/>
          </w:tcPr>
          <w:p w14:paraId="7C6AF955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52A218E0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124B5C2F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23DED2B6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36854547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50D1C20C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4AA5D37E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70DA9A8E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2D72DEBE">
            <w:pPr>
              <w:rPr>
                <w:rFonts w:ascii="Arial"/>
                <w:sz w:val="21"/>
              </w:rPr>
            </w:pPr>
          </w:p>
        </w:tc>
        <w:tc>
          <w:tcPr>
            <w:tcW w:w="1114" w:type="dxa"/>
            <w:vAlign w:val="top"/>
          </w:tcPr>
          <w:p w14:paraId="73B65750">
            <w:pPr>
              <w:rPr>
                <w:rFonts w:ascii="Arial"/>
                <w:sz w:val="21"/>
              </w:rPr>
            </w:pPr>
          </w:p>
        </w:tc>
        <w:tc>
          <w:tcPr>
            <w:tcW w:w="1114" w:type="dxa"/>
            <w:vAlign w:val="top"/>
          </w:tcPr>
          <w:p w14:paraId="51E32D44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25DBEDBD">
            <w:pPr>
              <w:rPr>
                <w:rFonts w:ascii="Arial"/>
                <w:sz w:val="21"/>
              </w:rPr>
            </w:pPr>
          </w:p>
        </w:tc>
      </w:tr>
      <w:tr w14:paraId="259AC9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4" w:hRule="atLeast"/>
        </w:trPr>
        <w:tc>
          <w:tcPr>
            <w:tcW w:w="662" w:type="dxa"/>
            <w:vAlign w:val="top"/>
          </w:tcPr>
          <w:p w14:paraId="1F38BA51">
            <w:pPr>
              <w:spacing w:line="243" w:lineRule="auto"/>
              <w:rPr>
                <w:rFonts w:ascii="Arial"/>
                <w:sz w:val="21"/>
              </w:rPr>
            </w:pPr>
          </w:p>
          <w:p w14:paraId="3B53EC73">
            <w:pPr>
              <w:spacing w:line="244" w:lineRule="auto"/>
              <w:rPr>
                <w:rFonts w:ascii="Arial"/>
                <w:sz w:val="21"/>
              </w:rPr>
            </w:pPr>
          </w:p>
          <w:p w14:paraId="309A43FE">
            <w:pPr>
              <w:spacing w:line="244" w:lineRule="auto"/>
              <w:rPr>
                <w:rFonts w:ascii="Arial"/>
                <w:sz w:val="21"/>
              </w:rPr>
            </w:pPr>
          </w:p>
          <w:p w14:paraId="771B6EE7">
            <w:pPr>
              <w:spacing w:before="63" w:line="189" w:lineRule="auto"/>
              <w:ind w:left="27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1163" w:type="dxa"/>
            <w:vAlign w:val="top"/>
          </w:tcPr>
          <w:p w14:paraId="3EDE2F75">
            <w:pPr>
              <w:spacing w:before="111" w:line="222" w:lineRule="auto"/>
              <w:ind w:left="16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7"/>
                <w:sz w:val="22"/>
                <w:szCs w:val="22"/>
              </w:rPr>
              <w:t>息前净现</w:t>
            </w:r>
          </w:p>
          <w:p w14:paraId="5E71D443">
            <w:pPr>
              <w:spacing w:before="169" w:line="226" w:lineRule="auto"/>
              <w:ind w:left="26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5"/>
                <w:sz w:val="22"/>
                <w:szCs w:val="22"/>
              </w:rPr>
              <w:t>金流量</w:t>
            </w:r>
          </w:p>
          <w:p w14:paraId="614AD6F5">
            <w:pPr>
              <w:spacing w:before="165" w:line="220" w:lineRule="auto"/>
              <w:ind w:left="15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（缴存国</w:t>
            </w:r>
          </w:p>
          <w:p w14:paraId="45DD89FC">
            <w:pPr>
              <w:spacing w:before="172" w:line="223" w:lineRule="auto"/>
              <w:ind w:left="375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9"/>
                <w:sz w:val="22"/>
                <w:szCs w:val="22"/>
              </w:rPr>
              <w:t>库）</w:t>
            </w:r>
          </w:p>
        </w:tc>
        <w:tc>
          <w:tcPr>
            <w:tcW w:w="1150" w:type="dxa"/>
            <w:vAlign w:val="top"/>
          </w:tcPr>
          <w:p w14:paraId="2F6E79A3">
            <w:pPr>
              <w:spacing w:line="243" w:lineRule="auto"/>
              <w:rPr>
                <w:rFonts w:ascii="Arial"/>
                <w:sz w:val="21"/>
              </w:rPr>
            </w:pPr>
          </w:p>
          <w:p w14:paraId="521855BD">
            <w:pPr>
              <w:spacing w:line="244" w:lineRule="auto"/>
              <w:rPr>
                <w:rFonts w:ascii="Arial"/>
                <w:sz w:val="21"/>
              </w:rPr>
            </w:pPr>
          </w:p>
          <w:p w14:paraId="29A109BE">
            <w:pPr>
              <w:spacing w:line="244" w:lineRule="auto"/>
              <w:rPr>
                <w:rFonts w:ascii="Arial"/>
                <w:sz w:val="21"/>
              </w:rPr>
            </w:pPr>
          </w:p>
          <w:p w14:paraId="663984BD">
            <w:pPr>
              <w:spacing w:before="63" w:line="189" w:lineRule="auto"/>
              <w:ind w:left="11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125243.05</w:t>
            </w:r>
          </w:p>
        </w:tc>
        <w:tc>
          <w:tcPr>
            <w:tcW w:w="1041" w:type="dxa"/>
            <w:vAlign w:val="top"/>
          </w:tcPr>
          <w:p w14:paraId="25940DA2">
            <w:pPr>
              <w:spacing w:line="243" w:lineRule="auto"/>
              <w:rPr>
                <w:rFonts w:ascii="Arial"/>
                <w:sz w:val="21"/>
              </w:rPr>
            </w:pPr>
          </w:p>
          <w:p w14:paraId="72C5899E">
            <w:pPr>
              <w:spacing w:line="244" w:lineRule="auto"/>
              <w:rPr>
                <w:rFonts w:ascii="Arial"/>
                <w:sz w:val="21"/>
              </w:rPr>
            </w:pPr>
          </w:p>
          <w:p w14:paraId="37553C93">
            <w:pPr>
              <w:spacing w:line="244" w:lineRule="auto"/>
              <w:rPr>
                <w:rFonts w:ascii="Arial"/>
                <w:sz w:val="21"/>
              </w:rPr>
            </w:pPr>
          </w:p>
          <w:p w14:paraId="767EF943">
            <w:pPr>
              <w:spacing w:before="63" w:line="189" w:lineRule="auto"/>
              <w:ind w:left="17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5800.56</w:t>
            </w:r>
          </w:p>
        </w:tc>
        <w:tc>
          <w:tcPr>
            <w:tcW w:w="1041" w:type="dxa"/>
            <w:vAlign w:val="top"/>
          </w:tcPr>
          <w:p w14:paraId="6132F28F">
            <w:pPr>
              <w:spacing w:line="243" w:lineRule="auto"/>
              <w:rPr>
                <w:rFonts w:ascii="Arial"/>
                <w:sz w:val="21"/>
              </w:rPr>
            </w:pPr>
          </w:p>
          <w:p w14:paraId="6A5D5F10">
            <w:pPr>
              <w:spacing w:line="244" w:lineRule="auto"/>
              <w:rPr>
                <w:rFonts w:ascii="Arial"/>
                <w:sz w:val="21"/>
              </w:rPr>
            </w:pPr>
          </w:p>
          <w:p w14:paraId="47231462">
            <w:pPr>
              <w:spacing w:line="244" w:lineRule="auto"/>
              <w:rPr>
                <w:rFonts w:ascii="Arial"/>
                <w:sz w:val="21"/>
              </w:rPr>
            </w:pPr>
          </w:p>
          <w:p w14:paraId="6C6A7E4F">
            <w:pPr>
              <w:spacing w:before="63" w:line="189" w:lineRule="auto"/>
              <w:ind w:left="16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6315.71</w:t>
            </w:r>
          </w:p>
        </w:tc>
        <w:tc>
          <w:tcPr>
            <w:tcW w:w="1041" w:type="dxa"/>
            <w:vAlign w:val="top"/>
          </w:tcPr>
          <w:p w14:paraId="574692A8">
            <w:pPr>
              <w:spacing w:line="243" w:lineRule="auto"/>
              <w:rPr>
                <w:rFonts w:ascii="Arial"/>
                <w:sz w:val="21"/>
              </w:rPr>
            </w:pPr>
          </w:p>
          <w:p w14:paraId="63844236">
            <w:pPr>
              <w:spacing w:line="244" w:lineRule="auto"/>
              <w:rPr>
                <w:rFonts w:ascii="Arial"/>
                <w:sz w:val="21"/>
              </w:rPr>
            </w:pPr>
          </w:p>
          <w:p w14:paraId="76652BEF">
            <w:pPr>
              <w:spacing w:line="244" w:lineRule="auto"/>
              <w:rPr>
                <w:rFonts w:ascii="Arial"/>
                <w:sz w:val="21"/>
              </w:rPr>
            </w:pPr>
          </w:p>
          <w:p w14:paraId="5259DE10">
            <w:pPr>
              <w:spacing w:before="63" w:line="189" w:lineRule="auto"/>
              <w:ind w:left="16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6315.71</w:t>
            </w:r>
          </w:p>
        </w:tc>
        <w:tc>
          <w:tcPr>
            <w:tcW w:w="1041" w:type="dxa"/>
            <w:vAlign w:val="top"/>
          </w:tcPr>
          <w:p w14:paraId="2DDA2CD5">
            <w:pPr>
              <w:spacing w:line="243" w:lineRule="auto"/>
              <w:rPr>
                <w:rFonts w:ascii="Arial"/>
                <w:sz w:val="21"/>
              </w:rPr>
            </w:pPr>
          </w:p>
          <w:p w14:paraId="181E9198">
            <w:pPr>
              <w:spacing w:line="244" w:lineRule="auto"/>
              <w:rPr>
                <w:rFonts w:ascii="Arial"/>
                <w:sz w:val="21"/>
              </w:rPr>
            </w:pPr>
          </w:p>
          <w:p w14:paraId="10D04205">
            <w:pPr>
              <w:spacing w:line="244" w:lineRule="auto"/>
              <w:rPr>
                <w:rFonts w:ascii="Arial"/>
                <w:sz w:val="21"/>
              </w:rPr>
            </w:pPr>
          </w:p>
          <w:p w14:paraId="59C2536F">
            <w:pPr>
              <w:spacing w:before="63" w:line="189" w:lineRule="auto"/>
              <w:ind w:left="17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6315.71</w:t>
            </w:r>
          </w:p>
        </w:tc>
        <w:tc>
          <w:tcPr>
            <w:tcW w:w="1041" w:type="dxa"/>
            <w:vAlign w:val="top"/>
          </w:tcPr>
          <w:p w14:paraId="10FE176E">
            <w:pPr>
              <w:spacing w:line="243" w:lineRule="auto"/>
              <w:rPr>
                <w:rFonts w:ascii="Arial"/>
                <w:sz w:val="21"/>
              </w:rPr>
            </w:pPr>
          </w:p>
          <w:p w14:paraId="75224D04">
            <w:pPr>
              <w:spacing w:line="244" w:lineRule="auto"/>
              <w:rPr>
                <w:rFonts w:ascii="Arial"/>
                <w:sz w:val="21"/>
              </w:rPr>
            </w:pPr>
          </w:p>
          <w:p w14:paraId="0772C2DE">
            <w:pPr>
              <w:spacing w:line="244" w:lineRule="auto"/>
              <w:rPr>
                <w:rFonts w:ascii="Arial"/>
                <w:sz w:val="21"/>
              </w:rPr>
            </w:pPr>
          </w:p>
          <w:p w14:paraId="75B6331B">
            <w:pPr>
              <w:spacing w:before="63" w:line="189" w:lineRule="auto"/>
              <w:ind w:left="17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6882.34</w:t>
            </w:r>
          </w:p>
        </w:tc>
        <w:tc>
          <w:tcPr>
            <w:tcW w:w="1041" w:type="dxa"/>
            <w:vAlign w:val="top"/>
          </w:tcPr>
          <w:p w14:paraId="2958ECCF">
            <w:pPr>
              <w:spacing w:line="243" w:lineRule="auto"/>
              <w:rPr>
                <w:rFonts w:ascii="Arial"/>
                <w:sz w:val="21"/>
              </w:rPr>
            </w:pPr>
          </w:p>
          <w:p w14:paraId="0EB57236">
            <w:pPr>
              <w:spacing w:line="244" w:lineRule="auto"/>
              <w:rPr>
                <w:rFonts w:ascii="Arial"/>
                <w:sz w:val="21"/>
              </w:rPr>
            </w:pPr>
          </w:p>
          <w:p w14:paraId="1F537C34">
            <w:pPr>
              <w:spacing w:line="244" w:lineRule="auto"/>
              <w:rPr>
                <w:rFonts w:ascii="Arial"/>
                <w:sz w:val="21"/>
              </w:rPr>
            </w:pPr>
          </w:p>
          <w:p w14:paraId="16DAD5A5">
            <w:pPr>
              <w:spacing w:before="63" w:line="189" w:lineRule="auto"/>
              <w:ind w:left="16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6882.34</w:t>
            </w:r>
          </w:p>
        </w:tc>
        <w:tc>
          <w:tcPr>
            <w:tcW w:w="1041" w:type="dxa"/>
            <w:vAlign w:val="top"/>
          </w:tcPr>
          <w:p w14:paraId="4E4E7D20">
            <w:pPr>
              <w:spacing w:line="243" w:lineRule="auto"/>
              <w:rPr>
                <w:rFonts w:ascii="Arial"/>
                <w:sz w:val="21"/>
              </w:rPr>
            </w:pPr>
          </w:p>
          <w:p w14:paraId="145CEEFA">
            <w:pPr>
              <w:spacing w:line="244" w:lineRule="auto"/>
              <w:rPr>
                <w:rFonts w:ascii="Arial"/>
                <w:sz w:val="21"/>
              </w:rPr>
            </w:pPr>
          </w:p>
          <w:p w14:paraId="2A570CDD">
            <w:pPr>
              <w:spacing w:line="244" w:lineRule="auto"/>
              <w:rPr>
                <w:rFonts w:ascii="Arial"/>
                <w:sz w:val="21"/>
              </w:rPr>
            </w:pPr>
          </w:p>
          <w:p w14:paraId="23A4ACA9">
            <w:pPr>
              <w:spacing w:before="63" w:line="189" w:lineRule="auto"/>
              <w:ind w:left="16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6882.34</w:t>
            </w:r>
          </w:p>
        </w:tc>
        <w:tc>
          <w:tcPr>
            <w:tcW w:w="1041" w:type="dxa"/>
            <w:vAlign w:val="top"/>
          </w:tcPr>
          <w:p w14:paraId="79DED072">
            <w:pPr>
              <w:spacing w:line="243" w:lineRule="auto"/>
              <w:rPr>
                <w:rFonts w:ascii="Arial"/>
                <w:sz w:val="21"/>
              </w:rPr>
            </w:pPr>
          </w:p>
          <w:p w14:paraId="33E2367F">
            <w:pPr>
              <w:spacing w:line="244" w:lineRule="auto"/>
              <w:rPr>
                <w:rFonts w:ascii="Arial"/>
                <w:sz w:val="21"/>
              </w:rPr>
            </w:pPr>
          </w:p>
          <w:p w14:paraId="5E09334F">
            <w:pPr>
              <w:spacing w:line="244" w:lineRule="auto"/>
              <w:rPr>
                <w:rFonts w:ascii="Arial"/>
                <w:sz w:val="21"/>
              </w:rPr>
            </w:pPr>
          </w:p>
          <w:p w14:paraId="338C22D8">
            <w:pPr>
              <w:spacing w:before="63" w:line="189" w:lineRule="auto"/>
              <w:ind w:left="16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7505.59</w:t>
            </w:r>
          </w:p>
        </w:tc>
        <w:tc>
          <w:tcPr>
            <w:tcW w:w="1041" w:type="dxa"/>
            <w:vAlign w:val="top"/>
          </w:tcPr>
          <w:p w14:paraId="661CC793">
            <w:pPr>
              <w:spacing w:line="243" w:lineRule="auto"/>
              <w:rPr>
                <w:rFonts w:ascii="Arial"/>
                <w:sz w:val="21"/>
              </w:rPr>
            </w:pPr>
          </w:p>
          <w:p w14:paraId="41F1296D">
            <w:pPr>
              <w:spacing w:line="244" w:lineRule="auto"/>
              <w:rPr>
                <w:rFonts w:ascii="Arial"/>
                <w:sz w:val="21"/>
              </w:rPr>
            </w:pPr>
          </w:p>
          <w:p w14:paraId="3B8B5473">
            <w:pPr>
              <w:spacing w:line="244" w:lineRule="auto"/>
              <w:rPr>
                <w:rFonts w:ascii="Arial"/>
                <w:sz w:val="21"/>
              </w:rPr>
            </w:pPr>
          </w:p>
          <w:p w14:paraId="0D7BC67E">
            <w:pPr>
              <w:spacing w:before="63" w:line="189" w:lineRule="auto"/>
              <w:ind w:left="16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7505.59</w:t>
            </w:r>
          </w:p>
        </w:tc>
        <w:tc>
          <w:tcPr>
            <w:tcW w:w="1114" w:type="dxa"/>
            <w:vAlign w:val="top"/>
          </w:tcPr>
          <w:p w14:paraId="64D85647">
            <w:pPr>
              <w:spacing w:line="243" w:lineRule="auto"/>
              <w:rPr>
                <w:rFonts w:ascii="Arial"/>
                <w:sz w:val="21"/>
              </w:rPr>
            </w:pPr>
          </w:p>
          <w:p w14:paraId="6705C958">
            <w:pPr>
              <w:spacing w:line="244" w:lineRule="auto"/>
              <w:rPr>
                <w:rFonts w:ascii="Arial"/>
                <w:sz w:val="21"/>
              </w:rPr>
            </w:pPr>
          </w:p>
          <w:p w14:paraId="791D13BD">
            <w:pPr>
              <w:spacing w:line="244" w:lineRule="auto"/>
              <w:rPr>
                <w:rFonts w:ascii="Arial"/>
                <w:sz w:val="21"/>
              </w:rPr>
            </w:pPr>
          </w:p>
          <w:p w14:paraId="40536C10">
            <w:pPr>
              <w:spacing w:before="63" w:line="189" w:lineRule="auto"/>
              <w:ind w:left="20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7505.59</w:t>
            </w:r>
          </w:p>
        </w:tc>
        <w:tc>
          <w:tcPr>
            <w:tcW w:w="1114" w:type="dxa"/>
            <w:vAlign w:val="top"/>
          </w:tcPr>
          <w:p w14:paraId="56D9C171">
            <w:pPr>
              <w:spacing w:line="243" w:lineRule="auto"/>
              <w:rPr>
                <w:rFonts w:ascii="Arial"/>
                <w:sz w:val="21"/>
              </w:rPr>
            </w:pPr>
          </w:p>
          <w:p w14:paraId="7D961004">
            <w:pPr>
              <w:spacing w:line="244" w:lineRule="auto"/>
              <w:rPr>
                <w:rFonts w:ascii="Arial"/>
                <w:sz w:val="21"/>
              </w:rPr>
            </w:pPr>
          </w:p>
          <w:p w14:paraId="1A9FF774">
            <w:pPr>
              <w:spacing w:line="244" w:lineRule="auto"/>
              <w:rPr>
                <w:rFonts w:ascii="Arial"/>
                <w:sz w:val="21"/>
              </w:rPr>
            </w:pPr>
          </w:p>
          <w:p w14:paraId="563AE83D">
            <w:pPr>
              <w:spacing w:before="63" w:line="189" w:lineRule="auto"/>
              <w:ind w:left="21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8031.10</w:t>
            </w:r>
          </w:p>
        </w:tc>
        <w:tc>
          <w:tcPr>
            <w:tcW w:w="1045" w:type="dxa"/>
            <w:vAlign w:val="top"/>
          </w:tcPr>
          <w:p w14:paraId="18463F1B">
            <w:pPr>
              <w:spacing w:line="243" w:lineRule="auto"/>
              <w:rPr>
                <w:rFonts w:ascii="Arial"/>
                <w:sz w:val="21"/>
              </w:rPr>
            </w:pPr>
          </w:p>
          <w:p w14:paraId="3BFE01FA">
            <w:pPr>
              <w:spacing w:line="244" w:lineRule="auto"/>
              <w:rPr>
                <w:rFonts w:ascii="Arial"/>
                <w:sz w:val="21"/>
              </w:rPr>
            </w:pPr>
          </w:p>
          <w:p w14:paraId="376D5DBD">
            <w:pPr>
              <w:spacing w:line="244" w:lineRule="auto"/>
              <w:rPr>
                <w:rFonts w:ascii="Arial"/>
                <w:sz w:val="21"/>
              </w:rPr>
            </w:pPr>
          </w:p>
          <w:p w14:paraId="31462093">
            <w:pPr>
              <w:spacing w:before="63" w:line="189" w:lineRule="auto"/>
              <w:ind w:left="17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7871.10</w:t>
            </w:r>
          </w:p>
        </w:tc>
      </w:tr>
      <w:tr w14:paraId="6EAC4A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62" w:type="dxa"/>
            <w:vAlign w:val="top"/>
          </w:tcPr>
          <w:p w14:paraId="0AEB5462">
            <w:pPr>
              <w:spacing w:before="165" w:line="180" w:lineRule="auto"/>
              <w:ind w:left="247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b/>
                <w:bCs/>
                <w:spacing w:val="-2"/>
                <w:sz w:val="19"/>
                <w:szCs w:val="19"/>
              </w:rPr>
              <w:t>二</w:t>
            </w:r>
          </w:p>
        </w:tc>
        <w:tc>
          <w:tcPr>
            <w:tcW w:w="1163" w:type="dxa"/>
            <w:vAlign w:val="top"/>
          </w:tcPr>
          <w:p w14:paraId="308362EA">
            <w:pPr>
              <w:spacing w:before="113" w:line="225" w:lineRule="auto"/>
              <w:ind w:left="16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2"/>
                <w:szCs w:val="22"/>
              </w:rPr>
              <w:t>资金流出</w:t>
            </w:r>
          </w:p>
        </w:tc>
        <w:tc>
          <w:tcPr>
            <w:tcW w:w="1150" w:type="dxa"/>
            <w:vAlign w:val="top"/>
          </w:tcPr>
          <w:p w14:paraId="4FE43FCF">
            <w:pPr>
              <w:spacing w:before="149" w:line="189" w:lineRule="auto"/>
              <w:ind w:left="11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136904.00</w:t>
            </w:r>
          </w:p>
        </w:tc>
        <w:tc>
          <w:tcPr>
            <w:tcW w:w="1041" w:type="dxa"/>
            <w:vAlign w:val="top"/>
          </w:tcPr>
          <w:p w14:paraId="460EE8FC">
            <w:pPr>
              <w:spacing w:before="149" w:line="189" w:lineRule="auto"/>
              <w:ind w:left="17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38724669">
            <w:pPr>
              <w:spacing w:before="149" w:line="189" w:lineRule="auto"/>
              <w:ind w:left="17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534132C6">
            <w:pPr>
              <w:spacing w:before="149" w:line="189" w:lineRule="auto"/>
              <w:ind w:left="17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6BB10CF8">
            <w:pPr>
              <w:spacing w:before="149" w:line="189" w:lineRule="auto"/>
              <w:ind w:left="17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1DB69801">
            <w:pPr>
              <w:spacing w:before="149" w:line="189" w:lineRule="auto"/>
              <w:ind w:left="17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10CAD192">
            <w:pPr>
              <w:spacing w:before="149" w:line="189" w:lineRule="auto"/>
              <w:ind w:left="17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1D2AC2AC">
            <w:pPr>
              <w:spacing w:before="149" w:line="189" w:lineRule="auto"/>
              <w:ind w:left="17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4BE96785">
            <w:pPr>
              <w:spacing w:before="149" w:line="189" w:lineRule="auto"/>
              <w:ind w:left="17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6562624F">
            <w:pPr>
              <w:spacing w:before="149" w:line="189" w:lineRule="auto"/>
              <w:ind w:left="17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22"/>
                <w:szCs w:val="22"/>
              </w:rPr>
              <w:t>1536.00</w:t>
            </w:r>
          </w:p>
        </w:tc>
        <w:tc>
          <w:tcPr>
            <w:tcW w:w="1114" w:type="dxa"/>
            <w:vAlign w:val="top"/>
          </w:tcPr>
          <w:p w14:paraId="4C1A4AE0">
            <w:pPr>
              <w:spacing w:before="149" w:line="189" w:lineRule="auto"/>
              <w:ind w:left="14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21536.00</w:t>
            </w:r>
          </w:p>
        </w:tc>
        <w:tc>
          <w:tcPr>
            <w:tcW w:w="1114" w:type="dxa"/>
            <w:vAlign w:val="top"/>
          </w:tcPr>
          <w:p w14:paraId="60AB8399">
            <w:pPr>
              <w:spacing w:before="149" w:line="189" w:lineRule="auto"/>
              <w:ind w:left="14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20896.00</w:t>
            </w:r>
          </w:p>
        </w:tc>
        <w:tc>
          <w:tcPr>
            <w:tcW w:w="1045" w:type="dxa"/>
            <w:vAlign w:val="top"/>
          </w:tcPr>
          <w:p w14:paraId="678ECF57">
            <w:pPr>
              <w:spacing w:before="149" w:line="189" w:lineRule="auto"/>
              <w:ind w:left="17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8256.00</w:t>
            </w:r>
          </w:p>
        </w:tc>
      </w:tr>
      <w:tr w14:paraId="7CCFBD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1" w:hRule="atLeast"/>
        </w:trPr>
        <w:tc>
          <w:tcPr>
            <w:tcW w:w="662" w:type="dxa"/>
            <w:vAlign w:val="top"/>
          </w:tcPr>
          <w:p w14:paraId="1C309F75">
            <w:pPr>
              <w:spacing w:line="316" w:lineRule="auto"/>
              <w:rPr>
                <w:rFonts w:ascii="Arial"/>
                <w:sz w:val="21"/>
              </w:rPr>
            </w:pPr>
          </w:p>
          <w:p w14:paraId="04103983">
            <w:pPr>
              <w:spacing w:line="316" w:lineRule="auto"/>
              <w:rPr>
                <w:rFonts w:ascii="Arial"/>
                <w:sz w:val="21"/>
              </w:rPr>
            </w:pPr>
          </w:p>
          <w:p w14:paraId="04E33182">
            <w:pPr>
              <w:spacing w:line="316" w:lineRule="auto"/>
              <w:rPr>
                <w:rFonts w:ascii="Arial"/>
                <w:sz w:val="21"/>
              </w:rPr>
            </w:pPr>
          </w:p>
          <w:p w14:paraId="7B52F9EA">
            <w:pPr>
              <w:spacing w:before="63" w:line="189" w:lineRule="auto"/>
              <w:ind w:left="29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1163" w:type="dxa"/>
            <w:vAlign w:val="top"/>
          </w:tcPr>
          <w:p w14:paraId="484D4FED">
            <w:pPr>
              <w:spacing w:before="109" w:line="225" w:lineRule="auto"/>
              <w:ind w:left="15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项目建设</w:t>
            </w:r>
          </w:p>
          <w:p w14:paraId="076DFAC7">
            <w:pPr>
              <w:spacing w:before="168" w:line="225" w:lineRule="auto"/>
              <w:ind w:left="37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7"/>
                <w:sz w:val="22"/>
                <w:szCs w:val="22"/>
              </w:rPr>
              <w:t>投资</w:t>
            </w:r>
          </w:p>
          <w:p w14:paraId="4C6B584E">
            <w:pPr>
              <w:spacing w:before="166" w:line="225" w:lineRule="auto"/>
              <w:ind w:left="15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（不含发</w:t>
            </w:r>
          </w:p>
          <w:p w14:paraId="48B7B014">
            <w:pPr>
              <w:spacing w:before="166" w:line="317" w:lineRule="auto"/>
              <w:ind w:left="383" w:right="140" w:hanging="23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行费及利</w:t>
            </w:r>
            <w:r>
              <w:rPr>
                <w:rFonts w:ascii="仿宋" w:hAnsi="仿宋" w:eastAsia="仿宋" w:cs="仿宋"/>
                <w:spacing w:val="-13"/>
                <w:sz w:val="22"/>
                <w:szCs w:val="22"/>
              </w:rPr>
              <w:t>息）</w:t>
            </w:r>
          </w:p>
        </w:tc>
        <w:tc>
          <w:tcPr>
            <w:tcW w:w="1150" w:type="dxa"/>
            <w:vAlign w:val="top"/>
          </w:tcPr>
          <w:p w14:paraId="661E5ABD">
            <w:pPr>
              <w:spacing w:line="315" w:lineRule="auto"/>
              <w:rPr>
                <w:rFonts w:ascii="Arial"/>
                <w:sz w:val="21"/>
              </w:rPr>
            </w:pPr>
          </w:p>
          <w:p w14:paraId="1EEB58DB">
            <w:pPr>
              <w:spacing w:line="316" w:lineRule="auto"/>
              <w:rPr>
                <w:rFonts w:ascii="Arial"/>
                <w:sz w:val="21"/>
              </w:rPr>
            </w:pPr>
          </w:p>
          <w:p w14:paraId="5251EB61">
            <w:pPr>
              <w:spacing w:line="316" w:lineRule="auto"/>
              <w:rPr>
                <w:rFonts w:ascii="Arial"/>
                <w:sz w:val="21"/>
              </w:rPr>
            </w:pPr>
          </w:p>
          <w:p w14:paraId="6707F07B">
            <w:pPr>
              <w:spacing w:before="64" w:line="189" w:lineRule="auto"/>
              <w:ind w:left="16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58509.33</w:t>
            </w:r>
          </w:p>
        </w:tc>
        <w:tc>
          <w:tcPr>
            <w:tcW w:w="1041" w:type="dxa"/>
            <w:vAlign w:val="top"/>
          </w:tcPr>
          <w:p w14:paraId="6059AE34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4B09AEBA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5E735D15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6C1767D2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223DE925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307C5E49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7DC1212E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123E475B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654A7D34">
            <w:pPr>
              <w:rPr>
                <w:rFonts w:ascii="Arial"/>
                <w:sz w:val="21"/>
              </w:rPr>
            </w:pPr>
          </w:p>
        </w:tc>
        <w:tc>
          <w:tcPr>
            <w:tcW w:w="1114" w:type="dxa"/>
            <w:vAlign w:val="top"/>
          </w:tcPr>
          <w:p w14:paraId="24459B7E">
            <w:pPr>
              <w:rPr>
                <w:rFonts w:ascii="Arial"/>
                <w:sz w:val="21"/>
              </w:rPr>
            </w:pPr>
          </w:p>
        </w:tc>
        <w:tc>
          <w:tcPr>
            <w:tcW w:w="1114" w:type="dxa"/>
            <w:vAlign w:val="top"/>
          </w:tcPr>
          <w:p w14:paraId="5198F308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666DEBDB">
            <w:pPr>
              <w:rPr>
                <w:rFonts w:ascii="Arial"/>
                <w:sz w:val="21"/>
              </w:rPr>
            </w:pPr>
          </w:p>
        </w:tc>
      </w:tr>
    </w:tbl>
    <w:p w14:paraId="54D8F20A">
      <w:pPr>
        <w:rPr>
          <w:rFonts w:ascii="Arial"/>
          <w:sz w:val="21"/>
        </w:rPr>
      </w:pPr>
    </w:p>
    <w:p w14:paraId="474E00AE"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6839" w:h="11906"/>
          <w:pgMar w:top="1012" w:right="608" w:bottom="1315" w:left="607" w:header="0" w:footer="950" w:gutter="0"/>
          <w:cols w:space="720" w:num="1"/>
        </w:sectPr>
      </w:pPr>
    </w:p>
    <w:p w14:paraId="29EB13B2">
      <w:pPr>
        <w:spacing w:before="217"/>
      </w:pPr>
    </w:p>
    <w:tbl>
      <w:tblPr>
        <w:tblStyle w:val="5"/>
        <w:tblW w:w="1561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163"/>
        <w:gridCol w:w="1150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114"/>
        <w:gridCol w:w="1114"/>
        <w:gridCol w:w="1045"/>
      </w:tblGrid>
      <w:tr w14:paraId="50F940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662" w:type="dxa"/>
            <w:vAlign w:val="top"/>
          </w:tcPr>
          <w:p w14:paraId="024936A5">
            <w:pPr>
              <w:spacing w:before="151" w:line="189" w:lineRule="auto"/>
              <w:ind w:left="27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1163" w:type="dxa"/>
            <w:vAlign w:val="top"/>
          </w:tcPr>
          <w:p w14:paraId="18B3ABFF">
            <w:pPr>
              <w:spacing w:before="113" w:line="222" w:lineRule="auto"/>
              <w:ind w:left="2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7"/>
                <w:sz w:val="22"/>
                <w:szCs w:val="22"/>
              </w:rPr>
              <w:t>发行费</w:t>
            </w:r>
          </w:p>
        </w:tc>
        <w:tc>
          <w:tcPr>
            <w:tcW w:w="1150" w:type="dxa"/>
            <w:vAlign w:val="top"/>
          </w:tcPr>
          <w:p w14:paraId="1CB48120">
            <w:pPr>
              <w:spacing w:before="151" w:line="189" w:lineRule="auto"/>
              <w:ind w:left="33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48.00</w:t>
            </w:r>
          </w:p>
        </w:tc>
        <w:tc>
          <w:tcPr>
            <w:tcW w:w="1041" w:type="dxa"/>
            <w:vAlign w:val="top"/>
          </w:tcPr>
          <w:p w14:paraId="60BB033B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253DD2D3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0EC8B30E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5ECC55A9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2841304F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6897C79C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4E567BF2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6401417C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2EC2DB42">
            <w:pPr>
              <w:rPr>
                <w:rFonts w:ascii="Arial"/>
                <w:sz w:val="21"/>
              </w:rPr>
            </w:pPr>
          </w:p>
        </w:tc>
        <w:tc>
          <w:tcPr>
            <w:tcW w:w="1114" w:type="dxa"/>
            <w:vAlign w:val="top"/>
          </w:tcPr>
          <w:p w14:paraId="4055F980">
            <w:pPr>
              <w:rPr>
                <w:rFonts w:ascii="Arial"/>
                <w:sz w:val="21"/>
              </w:rPr>
            </w:pPr>
          </w:p>
        </w:tc>
        <w:tc>
          <w:tcPr>
            <w:tcW w:w="1114" w:type="dxa"/>
            <w:vAlign w:val="top"/>
          </w:tcPr>
          <w:p w14:paraId="04D9366B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5CB65A1E">
            <w:pPr>
              <w:rPr>
                <w:rFonts w:ascii="Arial"/>
                <w:sz w:val="21"/>
              </w:rPr>
            </w:pPr>
          </w:p>
        </w:tc>
      </w:tr>
      <w:tr w14:paraId="11DDF2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662" w:type="dxa"/>
            <w:vAlign w:val="top"/>
          </w:tcPr>
          <w:p w14:paraId="399CC86C">
            <w:pPr>
              <w:spacing w:line="297" w:lineRule="auto"/>
              <w:rPr>
                <w:rFonts w:ascii="Arial"/>
                <w:sz w:val="21"/>
              </w:rPr>
            </w:pPr>
          </w:p>
          <w:p w14:paraId="3C22C31A">
            <w:pPr>
              <w:spacing w:before="63" w:line="189" w:lineRule="auto"/>
              <w:ind w:left="28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1163" w:type="dxa"/>
            <w:vAlign w:val="top"/>
          </w:tcPr>
          <w:p w14:paraId="08324E1C">
            <w:pPr>
              <w:spacing w:before="108" w:line="224" w:lineRule="auto"/>
              <w:ind w:left="16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7"/>
                <w:sz w:val="22"/>
                <w:szCs w:val="22"/>
              </w:rPr>
              <w:t>归还专项</w:t>
            </w:r>
          </w:p>
          <w:p w14:paraId="0EED0B16">
            <w:pPr>
              <w:spacing w:before="167" w:line="222" w:lineRule="auto"/>
              <w:ind w:left="15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债券本金</w:t>
            </w:r>
          </w:p>
        </w:tc>
        <w:tc>
          <w:tcPr>
            <w:tcW w:w="1150" w:type="dxa"/>
            <w:vAlign w:val="top"/>
          </w:tcPr>
          <w:p w14:paraId="29E20B4B">
            <w:pPr>
              <w:spacing w:line="297" w:lineRule="auto"/>
              <w:rPr>
                <w:rFonts w:ascii="Arial"/>
                <w:sz w:val="21"/>
              </w:rPr>
            </w:pPr>
          </w:p>
          <w:p w14:paraId="798DA15F">
            <w:pPr>
              <w:spacing w:before="63" w:line="189" w:lineRule="auto"/>
              <w:ind w:left="16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48000.00</w:t>
            </w:r>
          </w:p>
        </w:tc>
        <w:tc>
          <w:tcPr>
            <w:tcW w:w="1041" w:type="dxa"/>
            <w:vAlign w:val="top"/>
          </w:tcPr>
          <w:p w14:paraId="57678628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7BCB0E2F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02EB7680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373B5972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32D89CAD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2CAB97D7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6152DB2A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5F505000">
            <w:pPr>
              <w:rPr>
                <w:rFonts w:ascii="Arial"/>
                <w:sz w:val="21"/>
              </w:rPr>
            </w:pPr>
          </w:p>
        </w:tc>
        <w:tc>
          <w:tcPr>
            <w:tcW w:w="1041" w:type="dxa"/>
            <w:vAlign w:val="top"/>
          </w:tcPr>
          <w:p w14:paraId="3A5A4523">
            <w:pPr>
              <w:rPr>
                <w:rFonts w:ascii="Arial"/>
                <w:sz w:val="21"/>
              </w:rPr>
            </w:pPr>
          </w:p>
        </w:tc>
        <w:tc>
          <w:tcPr>
            <w:tcW w:w="1114" w:type="dxa"/>
            <w:vAlign w:val="top"/>
          </w:tcPr>
          <w:p w14:paraId="06CCD5E8">
            <w:pPr>
              <w:spacing w:line="297" w:lineRule="auto"/>
              <w:rPr>
                <w:rFonts w:ascii="Arial"/>
                <w:sz w:val="21"/>
              </w:rPr>
            </w:pPr>
          </w:p>
          <w:p w14:paraId="106D9CE6">
            <w:pPr>
              <w:spacing w:before="63" w:line="189" w:lineRule="auto"/>
              <w:ind w:left="14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20000.00</w:t>
            </w:r>
          </w:p>
        </w:tc>
        <w:tc>
          <w:tcPr>
            <w:tcW w:w="1114" w:type="dxa"/>
            <w:vAlign w:val="top"/>
          </w:tcPr>
          <w:p w14:paraId="1F7DB8EA">
            <w:pPr>
              <w:spacing w:line="297" w:lineRule="auto"/>
              <w:rPr>
                <w:rFonts w:ascii="Arial"/>
                <w:sz w:val="21"/>
              </w:rPr>
            </w:pPr>
          </w:p>
          <w:p w14:paraId="7EA23546">
            <w:pPr>
              <w:spacing w:before="63" w:line="189" w:lineRule="auto"/>
              <w:ind w:left="14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20000.00</w:t>
            </w:r>
          </w:p>
        </w:tc>
        <w:tc>
          <w:tcPr>
            <w:tcW w:w="1045" w:type="dxa"/>
            <w:vAlign w:val="top"/>
          </w:tcPr>
          <w:p w14:paraId="42871F91">
            <w:pPr>
              <w:spacing w:line="297" w:lineRule="auto"/>
              <w:rPr>
                <w:rFonts w:ascii="Arial"/>
                <w:sz w:val="21"/>
              </w:rPr>
            </w:pPr>
          </w:p>
          <w:p w14:paraId="1137F4D1">
            <w:pPr>
              <w:spacing w:before="63" w:line="189" w:lineRule="auto"/>
              <w:ind w:left="17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8000.00</w:t>
            </w:r>
          </w:p>
        </w:tc>
      </w:tr>
      <w:tr w14:paraId="7436D5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662" w:type="dxa"/>
            <w:vAlign w:val="top"/>
          </w:tcPr>
          <w:p w14:paraId="08097AAA">
            <w:pPr>
              <w:spacing w:line="299" w:lineRule="auto"/>
              <w:rPr>
                <w:rFonts w:ascii="Arial"/>
                <w:sz w:val="21"/>
              </w:rPr>
            </w:pPr>
          </w:p>
          <w:p w14:paraId="5D2A767D">
            <w:pPr>
              <w:spacing w:before="63" w:line="189" w:lineRule="auto"/>
              <w:ind w:left="27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1163" w:type="dxa"/>
            <w:vAlign w:val="top"/>
          </w:tcPr>
          <w:p w14:paraId="6ECD5BCD">
            <w:pPr>
              <w:spacing w:before="110" w:line="224" w:lineRule="auto"/>
              <w:ind w:left="16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7"/>
                <w:sz w:val="22"/>
                <w:szCs w:val="22"/>
              </w:rPr>
              <w:t>归还专项</w:t>
            </w:r>
          </w:p>
          <w:p w14:paraId="76AA7F02">
            <w:pPr>
              <w:spacing w:before="167" w:line="222" w:lineRule="auto"/>
              <w:ind w:left="15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债券利息</w:t>
            </w:r>
          </w:p>
        </w:tc>
        <w:tc>
          <w:tcPr>
            <w:tcW w:w="1150" w:type="dxa"/>
            <w:vAlign w:val="top"/>
          </w:tcPr>
          <w:p w14:paraId="2049BD13">
            <w:pPr>
              <w:spacing w:line="299" w:lineRule="auto"/>
              <w:rPr>
                <w:rFonts w:ascii="Arial"/>
                <w:sz w:val="21"/>
              </w:rPr>
            </w:pPr>
          </w:p>
          <w:p w14:paraId="7AEF4C5A">
            <w:pPr>
              <w:spacing w:before="63" w:line="189" w:lineRule="auto"/>
              <w:ind w:left="16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30346.67</w:t>
            </w:r>
          </w:p>
        </w:tc>
        <w:tc>
          <w:tcPr>
            <w:tcW w:w="1041" w:type="dxa"/>
            <w:vAlign w:val="top"/>
          </w:tcPr>
          <w:p w14:paraId="47237126">
            <w:pPr>
              <w:spacing w:line="299" w:lineRule="auto"/>
              <w:rPr>
                <w:rFonts w:ascii="Arial"/>
                <w:sz w:val="21"/>
              </w:rPr>
            </w:pPr>
          </w:p>
          <w:p w14:paraId="0CC302B4">
            <w:pPr>
              <w:spacing w:before="63" w:line="189" w:lineRule="auto"/>
              <w:ind w:left="18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1E443D50">
            <w:pPr>
              <w:spacing w:line="299" w:lineRule="auto"/>
              <w:rPr>
                <w:rFonts w:ascii="Arial"/>
                <w:sz w:val="21"/>
              </w:rPr>
            </w:pPr>
          </w:p>
          <w:p w14:paraId="0399333C">
            <w:pPr>
              <w:spacing w:before="63" w:line="189" w:lineRule="auto"/>
              <w:ind w:left="18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09FA9724">
            <w:pPr>
              <w:spacing w:line="299" w:lineRule="auto"/>
              <w:rPr>
                <w:rFonts w:ascii="Arial"/>
                <w:sz w:val="21"/>
              </w:rPr>
            </w:pPr>
          </w:p>
          <w:p w14:paraId="07BB1AC2">
            <w:pPr>
              <w:spacing w:before="63" w:line="189" w:lineRule="auto"/>
              <w:ind w:left="18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3615D01F">
            <w:pPr>
              <w:spacing w:line="299" w:lineRule="auto"/>
              <w:rPr>
                <w:rFonts w:ascii="Arial"/>
                <w:sz w:val="21"/>
              </w:rPr>
            </w:pPr>
          </w:p>
          <w:p w14:paraId="41BE3BF8">
            <w:pPr>
              <w:spacing w:before="63" w:line="189" w:lineRule="auto"/>
              <w:ind w:left="18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0E58F63B">
            <w:pPr>
              <w:spacing w:line="299" w:lineRule="auto"/>
              <w:rPr>
                <w:rFonts w:ascii="Arial"/>
                <w:sz w:val="21"/>
              </w:rPr>
            </w:pPr>
          </w:p>
          <w:p w14:paraId="7FAA79D7">
            <w:pPr>
              <w:spacing w:before="63" w:line="189" w:lineRule="auto"/>
              <w:ind w:left="18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1D782F4C">
            <w:pPr>
              <w:spacing w:line="299" w:lineRule="auto"/>
              <w:rPr>
                <w:rFonts w:ascii="Arial"/>
                <w:sz w:val="21"/>
              </w:rPr>
            </w:pPr>
          </w:p>
          <w:p w14:paraId="5B789655">
            <w:pPr>
              <w:spacing w:before="63" w:line="189" w:lineRule="auto"/>
              <w:ind w:left="18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51DE0A8D">
            <w:pPr>
              <w:spacing w:line="299" w:lineRule="auto"/>
              <w:rPr>
                <w:rFonts w:ascii="Arial"/>
                <w:sz w:val="21"/>
              </w:rPr>
            </w:pPr>
          </w:p>
          <w:p w14:paraId="2CACFEDF">
            <w:pPr>
              <w:spacing w:before="63" w:line="189" w:lineRule="auto"/>
              <w:ind w:left="18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25B6AAB3">
            <w:pPr>
              <w:spacing w:line="299" w:lineRule="auto"/>
              <w:rPr>
                <w:rFonts w:ascii="Arial"/>
                <w:sz w:val="21"/>
              </w:rPr>
            </w:pPr>
          </w:p>
          <w:p w14:paraId="56B0A9F5">
            <w:pPr>
              <w:spacing w:before="63" w:line="189" w:lineRule="auto"/>
              <w:ind w:left="18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1536.00</w:t>
            </w:r>
          </w:p>
        </w:tc>
        <w:tc>
          <w:tcPr>
            <w:tcW w:w="1041" w:type="dxa"/>
            <w:vAlign w:val="top"/>
          </w:tcPr>
          <w:p w14:paraId="50DE286A">
            <w:pPr>
              <w:spacing w:line="299" w:lineRule="auto"/>
              <w:rPr>
                <w:rFonts w:ascii="Arial"/>
                <w:sz w:val="21"/>
              </w:rPr>
            </w:pPr>
          </w:p>
          <w:p w14:paraId="76AE263E">
            <w:pPr>
              <w:spacing w:before="63" w:line="189" w:lineRule="auto"/>
              <w:ind w:left="18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1536.00</w:t>
            </w:r>
          </w:p>
        </w:tc>
        <w:tc>
          <w:tcPr>
            <w:tcW w:w="1114" w:type="dxa"/>
            <w:vAlign w:val="top"/>
          </w:tcPr>
          <w:p w14:paraId="2AC96143">
            <w:pPr>
              <w:spacing w:line="299" w:lineRule="auto"/>
              <w:rPr>
                <w:rFonts w:ascii="Arial"/>
                <w:sz w:val="21"/>
              </w:rPr>
            </w:pPr>
          </w:p>
          <w:p w14:paraId="2F5A3971">
            <w:pPr>
              <w:spacing w:before="63" w:line="189" w:lineRule="auto"/>
              <w:ind w:left="22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1536.00</w:t>
            </w:r>
          </w:p>
        </w:tc>
        <w:tc>
          <w:tcPr>
            <w:tcW w:w="1114" w:type="dxa"/>
            <w:vAlign w:val="top"/>
          </w:tcPr>
          <w:p w14:paraId="520A337A">
            <w:pPr>
              <w:spacing w:line="299" w:lineRule="auto"/>
              <w:rPr>
                <w:rFonts w:ascii="Arial"/>
                <w:sz w:val="21"/>
              </w:rPr>
            </w:pPr>
          </w:p>
          <w:p w14:paraId="5D2AE3B5">
            <w:pPr>
              <w:spacing w:before="63" w:line="189" w:lineRule="auto"/>
              <w:ind w:left="26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896.00</w:t>
            </w:r>
          </w:p>
        </w:tc>
        <w:tc>
          <w:tcPr>
            <w:tcW w:w="1045" w:type="dxa"/>
            <w:vAlign w:val="top"/>
          </w:tcPr>
          <w:p w14:paraId="3AA6A278">
            <w:pPr>
              <w:spacing w:line="299" w:lineRule="auto"/>
              <w:rPr>
                <w:rFonts w:ascii="Arial"/>
                <w:sz w:val="21"/>
              </w:rPr>
            </w:pPr>
          </w:p>
          <w:p w14:paraId="78A8C47A">
            <w:pPr>
              <w:spacing w:before="63" w:line="189" w:lineRule="auto"/>
              <w:ind w:left="22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256.00</w:t>
            </w:r>
          </w:p>
        </w:tc>
      </w:tr>
      <w:tr w14:paraId="79AF09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662" w:type="dxa"/>
            <w:vAlign w:val="top"/>
          </w:tcPr>
          <w:p w14:paraId="2D4AD80C">
            <w:pPr>
              <w:spacing w:line="301" w:lineRule="auto"/>
              <w:rPr>
                <w:rFonts w:ascii="Arial"/>
                <w:sz w:val="21"/>
              </w:rPr>
            </w:pPr>
          </w:p>
          <w:p w14:paraId="03F1442E">
            <w:pPr>
              <w:spacing w:before="62" w:line="195" w:lineRule="auto"/>
              <w:ind w:left="126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b/>
                <w:bCs/>
                <w:spacing w:val="-2"/>
                <w:sz w:val="19"/>
                <w:szCs w:val="19"/>
              </w:rPr>
              <w:t>三</w:t>
            </w:r>
          </w:p>
        </w:tc>
        <w:tc>
          <w:tcPr>
            <w:tcW w:w="1163" w:type="dxa"/>
            <w:vAlign w:val="top"/>
          </w:tcPr>
          <w:p w14:paraId="3BAB864A">
            <w:pPr>
              <w:spacing w:before="108" w:line="317" w:lineRule="auto"/>
              <w:ind w:left="376" w:right="140" w:hanging="20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11"/>
                <w:sz w:val="22"/>
                <w:szCs w:val="22"/>
              </w:rPr>
              <w:t>当年资金结余</w:t>
            </w:r>
          </w:p>
        </w:tc>
        <w:tc>
          <w:tcPr>
            <w:tcW w:w="1150" w:type="dxa"/>
            <w:vAlign w:val="top"/>
          </w:tcPr>
          <w:p w14:paraId="65AB0FF1">
            <w:pPr>
              <w:spacing w:line="298" w:lineRule="auto"/>
              <w:rPr>
                <w:rFonts w:ascii="Arial"/>
                <w:sz w:val="21"/>
              </w:rPr>
            </w:pPr>
          </w:p>
          <w:p w14:paraId="0B6516E7">
            <w:pPr>
              <w:spacing w:before="63" w:line="189" w:lineRule="auto"/>
              <w:ind w:left="16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49339.07</w:t>
            </w:r>
          </w:p>
        </w:tc>
        <w:tc>
          <w:tcPr>
            <w:tcW w:w="1041" w:type="dxa"/>
            <w:vAlign w:val="top"/>
          </w:tcPr>
          <w:p w14:paraId="6D04F47D">
            <w:pPr>
              <w:spacing w:line="298" w:lineRule="auto"/>
              <w:rPr>
                <w:rFonts w:ascii="Arial"/>
                <w:sz w:val="21"/>
              </w:rPr>
            </w:pPr>
          </w:p>
          <w:p w14:paraId="39DD0ECD">
            <w:pPr>
              <w:spacing w:before="63" w:line="189" w:lineRule="auto"/>
              <w:ind w:left="16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4264.56</w:t>
            </w:r>
          </w:p>
        </w:tc>
        <w:tc>
          <w:tcPr>
            <w:tcW w:w="1041" w:type="dxa"/>
            <w:vAlign w:val="top"/>
          </w:tcPr>
          <w:p w14:paraId="57EEF04B">
            <w:pPr>
              <w:spacing w:line="298" w:lineRule="auto"/>
              <w:rPr>
                <w:rFonts w:ascii="Arial"/>
                <w:sz w:val="21"/>
              </w:rPr>
            </w:pPr>
          </w:p>
          <w:p w14:paraId="67270515">
            <w:pPr>
              <w:spacing w:before="63" w:line="189" w:lineRule="auto"/>
              <w:ind w:left="16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4779.71</w:t>
            </w:r>
          </w:p>
        </w:tc>
        <w:tc>
          <w:tcPr>
            <w:tcW w:w="1041" w:type="dxa"/>
            <w:vAlign w:val="top"/>
          </w:tcPr>
          <w:p w14:paraId="1631C377">
            <w:pPr>
              <w:spacing w:line="298" w:lineRule="auto"/>
              <w:rPr>
                <w:rFonts w:ascii="Arial"/>
                <w:sz w:val="21"/>
              </w:rPr>
            </w:pPr>
          </w:p>
          <w:p w14:paraId="2CF9012F">
            <w:pPr>
              <w:spacing w:before="63" w:line="189" w:lineRule="auto"/>
              <w:ind w:left="16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4779.71</w:t>
            </w:r>
          </w:p>
        </w:tc>
        <w:tc>
          <w:tcPr>
            <w:tcW w:w="1041" w:type="dxa"/>
            <w:vAlign w:val="top"/>
          </w:tcPr>
          <w:p w14:paraId="3DE0CEBA">
            <w:pPr>
              <w:spacing w:line="298" w:lineRule="auto"/>
              <w:rPr>
                <w:rFonts w:ascii="Arial"/>
                <w:sz w:val="21"/>
              </w:rPr>
            </w:pPr>
          </w:p>
          <w:p w14:paraId="4F2E004C">
            <w:pPr>
              <w:spacing w:before="63" w:line="189" w:lineRule="auto"/>
              <w:ind w:left="166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4779.71</w:t>
            </w:r>
          </w:p>
        </w:tc>
        <w:tc>
          <w:tcPr>
            <w:tcW w:w="1041" w:type="dxa"/>
            <w:vAlign w:val="top"/>
          </w:tcPr>
          <w:p w14:paraId="5FEDD877">
            <w:pPr>
              <w:spacing w:line="298" w:lineRule="auto"/>
              <w:rPr>
                <w:rFonts w:ascii="Arial"/>
                <w:sz w:val="21"/>
              </w:rPr>
            </w:pPr>
          </w:p>
          <w:p w14:paraId="275C13B3">
            <w:pPr>
              <w:spacing w:before="63" w:line="189" w:lineRule="auto"/>
              <w:ind w:left="16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5346.34</w:t>
            </w:r>
          </w:p>
        </w:tc>
        <w:tc>
          <w:tcPr>
            <w:tcW w:w="1041" w:type="dxa"/>
            <w:vAlign w:val="top"/>
          </w:tcPr>
          <w:p w14:paraId="128CF8A1">
            <w:pPr>
              <w:spacing w:line="298" w:lineRule="auto"/>
              <w:rPr>
                <w:rFonts w:ascii="Arial"/>
                <w:sz w:val="21"/>
              </w:rPr>
            </w:pPr>
          </w:p>
          <w:p w14:paraId="22B7ED31">
            <w:pPr>
              <w:spacing w:before="63" w:line="189" w:lineRule="auto"/>
              <w:ind w:left="16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5346.34</w:t>
            </w:r>
          </w:p>
        </w:tc>
        <w:tc>
          <w:tcPr>
            <w:tcW w:w="1041" w:type="dxa"/>
            <w:vAlign w:val="top"/>
          </w:tcPr>
          <w:p w14:paraId="41803E06">
            <w:pPr>
              <w:spacing w:line="298" w:lineRule="auto"/>
              <w:rPr>
                <w:rFonts w:ascii="Arial"/>
                <w:sz w:val="21"/>
              </w:rPr>
            </w:pPr>
          </w:p>
          <w:p w14:paraId="04A2219B">
            <w:pPr>
              <w:spacing w:before="63" w:line="189" w:lineRule="auto"/>
              <w:ind w:left="167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5346.34</w:t>
            </w:r>
          </w:p>
        </w:tc>
        <w:tc>
          <w:tcPr>
            <w:tcW w:w="1041" w:type="dxa"/>
            <w:vAlign w:val="top"/>
          </w:tcPr>
          <w:p w14:paraId="5B06FFA8">
            <w:pPr>
              <w:spacing w:line="298" w:lineRule="auto"/>
              <w:rPr>
                <w:rFonts w:ascii="Arial"/>
                <w:sz w:val="21"/>
              </w:rPr>
            </w:pPr>
          </w:p>
          <w:p w14:paraId="256B1291">
            <w:pPr>
              <w:spacing w:before="63" w:line="189" w:lineRule="auto"/>
              <w:ind w:left="16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5969.59</w:t>
            </w:r>
          </w:p>
        </w:tc>
        <w:tc>
          <w:tcPr>
            <w:tcW w:w="1041" w:type="dxa"/>
            <w:vAlign w:val="top"/>
          </w:tcPr>
          <w:p w14:paraId="7F06F186">
            <w:pPr>
              <w:spacing w:line="298" w:lineRule="auto"/>
              <w:rPr>
                <w:rFonts w:ascii="Arial"/>
                <w:sz w:val="21"/>
              </w:rPr>
            </w:pPr>
          </w:p>
          <w:p w14:paraId="25B4282B">
            <w:pPr>
              <w:spacing w:before="63" w:line="189" w:lineRule="auto"/>
              <w:ind w:left="16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5969.59</w:t>
            </w:r>
          </w:p>
        </w:tc>
        <w:tc>
          <w:tcPr>
            <w:tcW w:w="1114" w:type="dxa"/>
            <w:vAlign w:val="top"/>
          </w:tcPr>
          <w:p w14:paraId="53D4FA4B">
            <w:pPr>
              <w:spacing w:line="298" w:lineRule="auto"/>
              <w:rPr>
                <w:rFonts w:ascii="Arial"/>
                <w:sz w:val="21"/>
              </w:rPr>
            </w:pPr>
          </w:p>
          <w:p w14:paraId="25190F1C">
            <w:pPr>
              <w:spacing w:before="63" w:line="189" w:lineRule="auto"/>
              <w:ind w:left="10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-14030.41</w:t>
            </w:r>
          </w:p>
        </w:tc>
        <w:tc>
          <w:tcPr>
            <w:tcW w:w="1114" w:type="dxa"/>
            <w:vAlign w:val="top"/>
          </w:tcPr>
          <w:p w14:paraId="3656EA66">
            <w:pPr>
              <w:spacing w:line="298" w:lineRule="auto"/>
              <w:rPr>
                <w:rFonts w:ascii="Arial"/>
                <w:sz w:val="21"/>
              </w:rPr>
            </w:pPr>
          </w:p>
          <w:p w14:paraId="1B060F4B">
            <w:pPr>
              <w:spacing w:before="63" w:line="189" w:lineRule="auto"/>
              <w:ind w:left="11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-12864.90</w:t>
            </w:r>
          </w:p>
        </w:tc>
        <w:tc>
          <w:tcPr>
            <w:tcW w:w="1045" w:type="dxa"/>
            <w:vAlign w:val="top"/>
          </w:tcPr>
          <w:p w14:paraId="0E48EB43">
            <w:pPr>
              <w:spacing w:line="298" w:lineRule="auto"/>
              <w:rPr>
                <w:rFonts w:ascii="Arial"/>
                <w:sz w:val="21"/>
              </w:rPr>
            </w:pPr>
          </w:p>
          <w:p w14:paraId="76B925F5">
            <w:pPr>
              <w:spacing w:before="63" w:line="189" w:lineRule="auto"/>
              <w:ind w:left="18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-384.90</w:t>
            </w:r>
          </w:p>
        </w:tc>
      </w:tr>
      <w:tr w14:paraId="18A4A6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662" w:type="dxa"/>
            <w:vAlign w:val="top"/>
          </w:tcPr>
          <w:p w14:paraId="42DD7951">
            <w:pPr>
              <w:spacing w:line="275" w:lineRule="auto"/>
              <w:rPr>
                <w:rFonts w:ascii="Arial"/>
                <w:sz w:val="21"/>
              </w:rPr>
            </w:pPr>
          </w:p>
          <w:p w14:paraId="3834D6CB">
            <w:pPr>
              <w:spacing w:before="62" w:line="250" w:lineRule="exact"/>
              <w:ind w:left="144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b/>
                <w:bCs/>
                <w:spacing w:val="-2"/>
                <w:position w:val="1"/>
                <w:sz w:val="19"/>
                <w:szCs w:val="19"/>
              </w:rPr>
              <w:t>四</w:t>
            </w:r>
          </w:p>
        </w:tc>
        <w:tc>
          <w:tcPr>
            <w:tcW w:w="1163" w:type="dxa"/>
            <w:vAlign w:val="top"/>
          </w:tcPr>
          <w:p w14:paraId="40EBA66A">
            <w:pPr>
              <w:spacing w:before="111" w:line="223" w:lineRule="auto"/>
              <w:ind w:left="149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6"/>
                <w:sz w:val="22"/>
                <w:szCs w:val="22"/>
              </w:rPr>
              <w:t>期末累计</w:t>
            </w:r>
          </w:p>
          <w:p w14:paraId="78C06F73">
            <w:pPr>
              <w:spacing w:before="168" w:line="224" w:lineRule="auto"/>
              <w:ind w:left="16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2"/>
                <w:szCs w:val="22"/>
              </w:rPr>
              <w:t>资金结余</w:t>
            </w:r>
          </w:p>
        </w:tc>
        <w:tc>
          <w:tcPr>
            <w:tcW w:w="1150" w:type="dxa"/>
            <w:vAlign w:val="top"/>
          </w:tcPr>
          <w:p w14:paraId="5B3BFF66">
            <w:pPr>
              <w:spacing w:line="300" w:lineRule="auto"/>
              <w:rPr>
                <w:rFonts w:ascii="Arial"/>
                <w:sz w:val="21"/>
              </w:rPr>
            </w:pPr>
          </w:p>
          <w:p w14:paraId="6EE5B3F9">
            <w:pPr>
              <w:spacing w:before="63" w:line="189" w:lineRule="auto"/>
              <w:ind w:left="16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49339.07</w:t>
            </w:r>
          </w:p>
        </w:tc>
        <w:tc>
          <w:tcPr>
            <w:tcW w:w="1041" w:type="dxa"/>
            <w:vAlign w:val="top"/>
          </w:tcPr>
          <w:p w14:paraId="1B35357B">
            <w:pPr>
              <w:spacing w:line="300" w:lineRule="auto"/>
              <w:rPr>
                <w:rFonts w:ascii="Arial"/>
                <w:sz w:val="21"/>
              </w:rPr>
            </w:pPr>
          </w:p>
          <w:p w14:paraId="37DE456A">
            <w:pPr>
              <w:spacing w:before="63" w:line="189" w:lineRule="auto"/>
              <w:ind w:left="10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34301.95</w:t>
            </w:r>
          </w:p>
        </w:tc>
        <w:tc>
          <w:tcPr>
            <w:tcW w:w="1041" w:type="dxa"/>
            <w:vAlign w:val="top"/>
          </w:tcPr>
          <w:p w14:paraId="7D6DFE05">
            <w:pPr>
              <w:spacing w:line="300" w:lineRule="auto"/>
              <w:rPr>
                <w:rFonts w:ascii="Arial"/>
                <w:sz w:val="21"/>
              </w:rPr>
            </w:pPr>
          </w:p>
          <w:p w14:paraId="0B59C4CB">
            <w:pPr>
              <w:spacing w:before="63" w:line="189" w:lineRule="auto"/>
              <w:ind w:left="10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39081.66</w:t>
            </w:r>
          </w:p>
        </w:tc>
        <w:tc>
          <w:tcPr>
            <w:tcW w:w="1041" w:type="dxa"/>
            <w:vAlign w:val="top"/>
          </w:tcPr>
          <w:p w14:paraId="388E285E">
            <w:pPr>
              <w:spacing w:line="300" w:lineRule="auto"/>
              <w:rPr>
                <w:rFonts w:ascii="Arial"/>
                <w:sz w:val="21"/>
              </w:rPr>
            </w:pPr>
          </w:p>
          <w:p w14:paraId="21096C74">
            <w:pPr>
              <w:spacing w:before="63" w:line="189" w:lineRule="auto"/>
              <w:ind w:left="11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43861.37</w:t>
            </w:r>
          </w:p>
        </w:tc>
        <w:tc>
          <w:tcPr>
            <w:tcW w:w="1041" w:type="dxa"/>
            <w:vAlign w:val="top"/>
          </w:tcPr>
          <w:p w14:paraId="71E83CC6">
            <w:pPr>
              <w:spacing w:line="300" w:lineRule="auto"/>
              <w:rPr>
                <w:rFonts w:ascii="Arial"/>
                <w:sz w:val="21"/>
              </w:rPr>
            </w:pPr>
          </w:p>
          <w:p w14:paraId="36C3F277">
            <w:pPr>
              <w:spacing w:before="63" w:line="189" w:lineRule="auto"/>
              <w:ind w:left="11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48641.08</w:t>
            </w:r>
          </w:p>
        </w:tc>
        <w:tc>
          <w:tcPr>
            <w:tcW w:w="1041" w:type="dxa"/>
            <w:vAlign w:val="top"/>
          </w:tcPr>
          <w:p w14:paraId="4FB28CEB">
            <w:pPr>
              <w:spacing w:line="300" w:lineRule="auto"/>
              <w:rPr>
                <w:rFonts w:ascii="Arial"/>
                <w:sz w:val="21"/>
              </w:rPr>
            </w:pPr>
          </w:p>
          <w:p w14:paraId="6582176D">
            <w:pPr>
              <w:spacing w:before="63" w:line="189" w:lineRule="auto"/>
              <w:ind w:left="11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53987.42</w:t>
            </w:r>
          </w:p>
        </w:tc>
        <w:tc>
          <w:tcPr>
            <w:tcW w:w="1041" w:type="dxa"/>
            <w:vAlign w:val="top"/>
          </w:tcPr>
          <w:p w14:paraId="7EDD12FC">
            <w:pPr>
              <w:spacing w:line="300" w:lineRule="auto"/>
              <w:rPr>
                <w:rFonts w:ascii="Arial"/>
                <w:sz w:val="21"/>
              </w:rPr>
            </w:pPr>
          </w:p>
          <w:p w14:paraId="5C9A29AD">
            <w:pPr>
              <w:spacing w:before="63" w:line="189" w:lineRule="auto"/>
              <w:ind w:left="11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59333.76</w:t>
            </w:r>
          </w:p>
        </w:tc>
        <w:tc>
          <w:tcPr>
            <w:tcW w:w="1041" w:type="dxa"/>
            <w:vAlign w:val="top"/>
          </w:tcPr>
          <w:p w14:paraId="22EB9E5E">
            <w:pPr>
              <w:spacing w:line="300" w:lineRule="auto"/>
              <w:rPr>
                <w:rFonts w:ascii="Arial"/>
                <w:sz w:val="21"/>
              </w:rPr>
            </w:pPr>
          </w:p>
          <w:p w14:paraId="2D9A5D6B">
            <w:pPr>
              <w:spacing w:before="63" w:line="189" w:lineRule="auto"/>
              <w:ind w:left="11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64680.10</w:t>
            </w:r>
          </w:p>
        </w:tc>
        <w:tc>
          <w:tcPr>
            <w:tcW w:w="1041" w:type="dxa"/>
            <w:vAlign w:val="top"/>
          </w:tcPr>
          <w:p w14:paraId="72F844B7">
            <w:pPr>
              <w:spacing w:line="300" w:lineRule="auto"/>
              <w:rPr>
                <w:rFonts w:ascii="Arial"/>
                <w:sz w:val="21"/>
              </w:rPr>
            </w:pPr>
          </w:p>
          <w:p w14:paraId="0472A7C6">
            <w:pPr>
              <w:spacing w:before="63" w:line="189" w:lineRule="auto"/>
              <w:ind w:left="11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70649.69</w:t>
            </w:r>
          </w:p>
        </w:tc>
        <w:tc>
          <w:tcPr>
            <w:tcW w:w="1041" w:type="dxa"/>
            <w:vAlign w:val="top"/>
          </w:tcPr>
          <w:p w14:paraId="00FDF374">
            <w:pPr>
              <w:spacing w:line="300" w:lineRule="auto"/>
              <w:rPr>
                <w:rFonts w:ascii="Arial"/>
                <w:sz w:val="21"/>
              </w:rPr>
            </w:pPr>
          </w:p>
          <w:p w14:paraId="522D8615">
            <w:pPr>
              <w:spacing w:before="63" w:line="189" w:lineRule="auto"/>
              <w:ind w:left="11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76619.28</w:t>
            </w:r>
          </w:p>
        </w:tc>
        <w:tc>
          <w:tcPr>
            <w:tcW w:w="1114" w:type="dxa"/>
            <w:vAlign w:val="top"/>
          </w:tcPr>
          <w:p w14:paraId="7C252A59">
            <w:pPr>
              <w:spacing w:line="300" w:lineRule="auto"/>
              <w:rPr>
                <w:rFonts w:ascii="Arial"/>
                <w:sz w:val="21"/>
              </w:rPr>
            </w:pPr>
          </w:p>
          <w:p w14:paraId="0AA3D81C">
            <w:pPr>
              <w:spacing w:before="63" w:line="189" w:lineRule="auto"/>
              <w:ind w:left="15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62588.87</w:t>
            </w:r>
          </w:p>
        </w:tc>
        <w:tc>
          <w:tcPr>
            <w:tcW w:w="1114" w:type="dxa"/>
            <w:vAlign w:val="top"/>
          </w:tcPr>
          <w:p w14:paraId="13EE6F9E">
            <w:pPr>
              <w:spacing w:line="300" w:lineRule="auto"/>
              <w:rPr>
                <w:rFonts w:ascii="Arial"/>
                <w:sz w:val="21"/>
              </w:rPr>
            </w:pPr>
          </w:p>
          <w:p w14:paraId="3A39BE94">
            <w:pPr>
              <w:spacing w:before="63" w:line="189" w:lineRule="auto"/>
              <w:ind w:left="148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49723.97</w:t>
            </w:r>
          </w:p>
        </w:tc>
        <w:tc>
          <w:tcPr>
            <w:tcW w:w="1045" w:type="dxa"/>
            <w:vAlign w:val="top"/>
          </w:tcPr>
          <w:p w14:paraId="13D5EA12">
            <w:pPr>
              <w:spacing w:line="300" w:lineRule="auto"/>
              <w:rPr>
                <w:rFonts w:ascii="Arial"/>
                <w:sz w:val="21"/>
              </w:rPr>
            </w:pPr>
          </w:p>
          <w:p w14:paraId="468A0436">
            <w:pPr>
              <w:spacing w:before="63" w:line="189" w:lineRule="auto"/>
              <w:ind w:left="114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49339.07</w:t>
            </w:r>
          </w:p>
        </w:tc>
      </w:tr>
    </w:tbl>
    <w:p w14:paraId="6B9CB8EC">
      <w:pPr>
        <w:rPr>
          <w:rFonts w:ascii="Arial"/>
          <w:sz w:val="21"/>
        </w:rPr>
      </w:pPr>
    </w:p>
    <w:p w14:paraId="1F4F67EA"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6839" w:h="11906"/>
          <w:pgMar w:top="1012" w:right="608" w:bottom="1315" w:left="607" w:header="0" w:footer="950" w:gutter="0"/>
          <w:cols w:space="720" w:num="1"/>
        </w:sectPr>
      </w:pPr>
    </w:p>
    <w:p w14:paraId="57460B72">
      <w:pPr>
        <w:spacing w:line="245" w:lineRule="auto"/>
        <w:rPr>
          <w:rFonts w:ascii="Arial"/>
          <w:sz w:val="21"/>
        </w:rPr>
      </w:pPr>
    </w:p>
    <w:p w14:paraId="083557FA">
      <w:pPr>
        <w:spacing w:line="246" w:lineRule="auto"/>
        <w:rPr>
          <w:rFonts w:ascii="Arial"/>
          <w:sz w:val="21"/>
        </w:rPr>
      </w:pPr>
    </w:p>
    <w:p w14:paraId="46A45021">
      <w:pPr>
        <w:spacing w:line="246" w:lineRule="auto"/>
        <w:rPr>
          <w:rFonts w:ascii="Arial"/>
          <w:sz w:val="21"/>
        </w:rPr>
      </w:pPr>
    </w:p>
    <w:p w14:paraId="3DF4889E">
      <w:pPr>
        <w:spacing w:before="101" w:line="226" w:lineRule="auto"/>
        <w:ind w:left="655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五、项目绩效目标</w:t>
      </w:r>
    </w:p>
    <w:p w14:paraId="56F5FF10">
      <w:pPr>
        <w:pStyle w:val="2"/>
        <w:spacing w:before="180" w:line="221" w:lineRule="auto"/>
        <w:ind w:left="666"/>
      </w:pPr>
      <w:r>
        <w:rPr>
          <w:spacing w:val="2"/>
        </w:rPr>
        <w:t>1.产出指标</w:t>
      </w:r>
    </w:p>
    <w:p w14:paraId="6EE63A20">
      <w:pPr>
        <w:spacing w:line="304" w:lineRule="auto"/>
        <w:rPr>
          <w:rFonts w:ascii="Arial"/>
          <w:sz w:val="21"/>
        </w:rPr>
      </w:pPr>
    </w:p>
    <w:p w14:paraId="6F52C95E">
      <w:pPr>
        <w:pStyle w:val="2"/>
        <w:spacing w:before="101" w:line="333" w:lineRule="auto"/>
        <w:ind w:left="23" w:right="81" w:firstLine="631"/>
        <w:jc w:val="both"/>
      </w:pPr>
      <w:r>
        <w:rPr>
          <w:spacing w:val="6"/>
        </w:rPr>
        <w:t>数量指标：本项目</w:t>
      </w:r>
      <w:r>
        <w:rPr>
          <w:spacing w:val="-76"/>
        </w:rPr>
        <w:t xml:space="preserve"> </w:t>
      </w:r>
      <w:r>
        <w:rPr>
          <w:spacing w:val="6"/>
        </w:rPr>
        <w:t>占地约</w:t>
      </w:r>
      <w:r>
        <w:rPr>
          <w:spacing w:val="-38"/>
        </w:rPr>
        <w:t xml:space="preserve"> </w:t>
      </w:r>
      <w:r>
        <w:rPr>
          <w:spacing w:val="6"/>
        </w:rPr>
        <w:t>133</w:t>
      </w:r>
      <w:r>
        <w:rPr>
          <w:spacing w:val="-54"/>
        </w:rPr>
        <w:t xml:space="preserve"> </w:t>
      </w:r>
      <w:r>
        <w:rPr>
          <w:spacing w:val="6"/>
        </w:rPr>
        <w:t>亩，建设标准化厂房约</w:t>
      </w:r>
      <w:r>
        <w:rPr>
          <w:spacing w:val="-36"/>
        </w:rPr>
        <w:t xml:space="preserve"> </w:t>
      </w:r>
      <w:r>
        <w:rPr>
          <w:spacing w:val="6"/>
        </w:rPr>
        <w:t>13.9</w:t>
      </w:r>
      <w:r>
        <w:rPr>
          <w:spacing w:val="9"/>
        </w:rPr>
        <w:t>万平方米，配套建设园区道路约</w:t>
      </w:r>
      <w:r>
        <w:rPr>
          <w:spacing w:val="-39"/>
        </w:rPr>
        <w:t xml:space="preserve"> </w:t>
      </w:r>
      <w:r>
        <w:rPr>
          <w:spacing w:val="9"/>
        </w:rPr>
        <w:t>0.75公里，</w:t>
      </w:r>
      <w:r>
        <w:rPr>
          <w:spacing w:val="-90"/>
        </w:rPr>
        <w:t xml:space="preserve"> </w:t>
      </w:r>
      <w:r>
        <w:rPr>
          <w:spacing w:val="9"/>
        </w:rPr>
        <w:t>以及配套室外管网</w:t>
      </w:r>
      <w:r>
        <w:rPr>
          <w:spacing w:val="-1"/>
        </w:rPr>
        <w:t>约</w:t>
      </w:r>
      <w:r>
        <w:rPr>
          <w:spacing w:val="-46"/>
        </w:rPr>
        <w:t xml:space="preserve"> </w:t>
      </w:r>
      <w:r>
        <w:rPr>
          <w:spacing w:val="-1"/>
        </w:rPr>
        <w:t>6</w:t>
      </w:r>
      <w:r>
        <w:rPr>
          <w:spacing w:val="-64"/>
        </w:rPr>
        <w:t xml:space="preserve"> </w:t>
      </w:r>
      <w:r>
        <w:rPr>
          <w:spacing w:val="-1"/>
        </w:rPr>
        <w:t>公里等工程。</w:t>
      </w:r>
    </w:p>
    <w:p w14:paraId="25CAD53B">
      <w:pPr>
        <w:pStyle w:val="2"/>
        <w:spacing w:before="220" w:line="332" w:lineRule="auto"/>
        <w:ind w:left="43" w:right="81" w:firstLine="604"/>
      </w:pPr>
      <w:r>
        <w:rPr>
          <w:spacing w:val="5"/>
        </w:rPr>
        <w:t>质量指标：符合现行国家验收规范合格标准、项目建设</w:t>
      </w:r>
      <w:r>
        <w:rPr>
          <w:spacing w:val="4"/>
        </w:rPr>
        <w:t>过程中不发生重大安全事故。</w:t>
      </w:r>
    </w:p>
    <w:p w14:paraId="6FBD1871">
      <w:pPr>
        <w:pStyle w:val="2"/>
        <w:spacing w:before="223" w:line="219" w:lineRule="auto"/>
        <w:ind w:left="654"/>
      </w:pPr>
      <w:r>
        <w:rPr>
          <w:spacing w:val="4"/>
        </w:rPr>
        <w:t>成本指标：总投资</w:t>
      </w:r>
      <w:r>
        <w:rPr>
          <w:spacing w:val="-33"/>
        </w:rPr>
        <w:t xml:space="preserve"> </w:t>
      </w:r>
      <w:r>
        <w:rPr>
          <w:spacing w:val="4"/>
        </w:rPr>
        <w:t>61000.00 万元。</w:t>
      </w:r>
    </w:p>
    <w:p w14:paraId="47088882">
      <w:pPr>
        <w:spacing w:line="307" w:lineRule="auto"/>
        <w:rPr>
          <w:rFonts w:ascii="Arial"/>
          <w:sz w:val="21"/>
        </w:rPr>
      </w:pPr>
    </w:p>
    <w:p w14:paraId="6AC0D82D">
      <w:pPr>
        <w:pStyle w:val="2"/>
        <w:spacing w:before="101" w:line="219" w:lineRule="auto"/>
        <w:ind w:left="676"/>
      </w:pPr>
      <w:r>
        <w:rPr>
          <w:spacing w:val="2"/>
        </w:rPr>
        <w:t>时效指标：2027</w:t>
      </w:r>
      <w:r>
        <w:rPr>
          <w:spacing w:val="-45"/>
        </w:rPr>
        <w:t xml:space="preserve"> </w:t>
      </w:r>
      <w:r>
        <w:rPr>
          <w:spacing w:val="2"/>
        </w:rPr>
        <w:t>年</w:t>
      </w:r>
      <w:r>
        <w:rPr>
          <w:spacing w:val="-46"/>
        </w:rPr>
        <w:t xml:space="preserve"> </w:t>
      </w:r>
      <w:r>
        <w:rPr>
          <w:spacing w:val="2"/>
        </w:rPr>
        <w:t>7</w:t>
      </w:r>
      <w:r>
        <w:rPr>
          <w:spacing w:val="-46"/>
        </w:rPr>
        <w:t xml:space="preserve"> </w:t>
      </w:r>
      <w:r>
        <w:rPr>
          <w:spacing w:val="2"/>
        </w:rPr>
        <w:t>月底前完成竣工验收。</w:t>
      </w:r>
    </w:p>
    <w:p w14:paraId="38920117">
      <w:pPr>
        <w:spacing w:line="307" w:lineRule="auto"/>
        <w:rPr>
          <w:rFonts w:ascii="Arial"/>
          <w:sz w:val="21"/>
        </w:rPr>
      </w:pPr>
    </w:p>
    <w:p w14:paraId="47A332D6">
      <w:pPr>
        <w:pStyle w:val="2"/>
        <w:spacing w:before="101" w:line="221" w:lineRule="auto"/>
        <w:ind w:left="659"/>
      </w:pPr>
      <w:r>
        <w:rPr>
          <w:spacing w:val="3"/>
        </w:rPr>
        <w:t>2.效益指标</w:t>
      </w:r>
    </w:p>
    <w:p w14:paraId="3F702AD7">
      <w:pPr>
        <w:spacing w:line="304" w:lineRule="auto"/>
        <w:rPr>
          <w:rFonts w:ascii="Arial"/>
          <w:sz w:val="21"/>
        </w:rPr>
      </w:pPr>
    </w:p>
    <w:p w14:paraId="1350784D">
      <w:pPr>
        <w:pStyle w:val="2"/>
        <w:spacing w:before="101" w:line="332" w:lineRule="auto"/>
        <w:ind w:right="83" w:firstLine="654"/>
      </w:pPr>
      <w:r>
        <w:rPr>
          <w:spacing w:val="4"/>
        </w:rPr>
        <w:t>经济效益指标：可实现年度收支平衡和总体收支平衡；专项</w:t>
      </w:r>
      <w:r>
        <w:rPr>
          <w:spacing w:val="7"/>
        </w:rPr>
        <w:t>债券按时足额还本付息；存续期总收入</w:t>
      </w:r>
      <w:r>
        <w:rPr>
          <w:spacing w:val="-48"/>
        </w:rPr>
        <w:t xml:space="preserve"> </w:t>
      </w:r>
      <w:r>
        <w:rPr>
          <w:spacing w:val="7"/>
        </w:rPr>
        <w:t>205353.</w:t>
      </w:r>
      <w:r>
        <w:rPr>
          <w:spacing w:val="6"/>
        </w:rPr>
        <w:t>85 万元。</w:t>
      </w:r>
    </w:p>
    <w:p w14:paraId="3CD801B9">
      <w:pPr>
        <w:pStyle w:val="2"/>
        <w:spacing w:before="227" w:line="333" w:lineRule="auto"/>
        <w:ind w:left="9" w:firstLine="643"/>
        <w:jc w:val="both"/>
      </w:pPr>
      <w:r>
        <w:rPr>
          <w:spacing w:val="4"/>
        </w:rPr>
        <w:t>社会效益指标：项目的建设过程中将会非常注重项目区域的</w:t>
      </w:r>
      <w:r>
        <w:rPr>
          <w:spacing w:val="5"/>
        </w:rPr>
        <w:t>生态环境保护和安全施工，确保项目建设的环保性和安全性。项</w:t>
      </w:r>
      <w:r>
        <w:rPr>
          <w:spacing w:val="2"/>
        </w:rPr>
        <w:t>目的建设将会带动区域 经济的发展，产生一定数量的就业岗位，</w:t>
      </w:r>
      <w:r>
        <w:rPr>
          <w:spacing w:val="8"/>
        </w:rPr>
        <w:t>为周边群众带来收入。因此 项</w:t>
      </w:r>
      <w:r>
        <w:rPr>
          <w:spacing w:val="-80"/>
        </w:rPr>
        <w:t xml:space="preserve"> </w:t>
      </w:r>
      <w:r>
        <w:rPr>
          <w:spacing w:val="8"/>
        </w:rPr>
        <w:t>目区域的群众对本项目总体持支</w:t>
      </w:r>
      <w:r>
        <w:rPr>
          <w:spacing w:val="3"/>
        </w:rPr>
        <w:t>持态度。</w:t>
      </w:r>
    </w:p>
    <w:p w14:paraId="08AE513D">
      <w:pPr>
        <w:pStyle w:val="2"/>
        <w:spacing w:before="218" w:line="221" w:lineRule="auto"/>
        <w:ind w:left="671"/>
      </w:pPr>
      <w:r>
        <w:rPr>
          <w:spacing w:val="2"/>
        </w:rPr>
        <w:t>3.满意度指标</w:t>
      </w:r>
    </w:p>
    <w:p w14:paraId="4DC5AD3D">
      <w:pPr>
        <w:spacing w:line="304" w:lineRule="auto"/>
        <w:rPr>
          <w:rFonts w:ascii="Arial"/>
          <w:sz w:val="21"/>
        </w:rPr>
      </w:pPr>
    </w:p>
    <w:p w14:paraId="620AA9EE">
      <w:pPr>
        <w:pStyle w:val="2"/>
        <w:spacing w:before="101" w:line="218" w:lineRule="auto"/>
        <w:ind w:left="650"/>
      </w:pPr>
      <w:r>
        <w:rPr>
          <w:spacing w:val="7"/>
        </w:rPr>
        <w:t>服务对象满意度指标：入驻企业满意度大于</w:t>
      </w:r>
      <w:r>
        <w:rPr>
          <w:spacing w:val="-49"/>
        </w:rPr>
        <w:t xml:space="preserve"> </w:t>
      </w:r>
      <w:r>
        <w:rPr>
          <w:spacing w:val="7"/>
        </w:rPr>
        <w:t>90%。</w:t>
      </w:r>
    </w:p>
    <w:p w14:paraId="2F378ACE">
      <w:pPr>
        <w:spacing w:line="218" w:lineRule="auto"/>
        <w:sectPr>
          <w:footerReference r:id="rId13" w:type="default"/>
          <w:pgSz w:w="11906" w:h="16839"/>
          <w:pgMar w:top="1431" w:right="1336" w:bottom="1315" w:left="1650" w:header="0" w:footer="950" w:gutter="0"/>
          <w:cols w:space="720" w:num="1"/>
        </w:sectPr>
      </w:pPr>
    </w:p>
    <w:p w14:paraId="17D57791">
      <w:pPr>
        <w:spacing w:line="245" w:lineRule="auto"/>
        <w:rPr>
          <w:rFonts w:ascii="Arial"/>
          <w:sz w:val="21"/>
        </w:rPr>
      </w:pPr>
    </w:p>
    <w:p w14:paraId="3525D26A">
      <w:pPr>
        <w:spacing w:line="245" w:lineRule="auto"/>
        <w:rPr>
          <w:rFonts w:ascii="Arial"/>
          <w:sz w:val="21"/>
        </w:rPr>
      </w:pPr>
    </w:p>
    <w:p w14:paraId="0ACFA212">
      <w:pPr>
        <w:spacing w:line="246" w:lineRule="auto"/>
        <w:rPr>
          <w:rFonts w:ascii="Arial"/>
          <w:sz w:val="21"/>
        </w:rPr>
      </w:pPr>
    </w:p>
    <w:p w14:paraId="03789F50">
      <w:pPr>
        <w:spacing w:before="101" w:line="227" w:lineRule="auto"/>
        <w:ind w:left="655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六、潜在影响项目的风险评估</w:t>
      </w:r>
    </w:p>
    <w:p w14:paraId="6DD426C8">
      <w:pPr>
        <w:pStyle w:val="2"/>
        <w:spacing w:before="303" w:line="333" w:lineRule="auto"/>
        <w:ind w:right="81" w:firstLine="666"/>
      </w:pPr>
      <w:r>
        <w:rPr>
          <w:spacing w:val="10"/>
        </w:rPr>
        <w:t>1）影响项目施工进度或正常运营的风险因素主要包括自然</w:t>
      </w:r>
      <w:r>
        <w:rPr>
          <w:spacing w:val="5"/>
        </w:rPr>
        <w:t>环境和施工条件、施工方的施工技术及管理方案、设计单位的设计质量和设计变更、供应商的交付质量和时间以及资金落实不到位等。针对以上风险，一是加强风险因素预判，提前制定解决方案；二是加强过程管理，及时发现和解决问题；三是严格筛选项</w:t>
      </w:r>
      <w:r>
        <w:rPr>
          <w:spacing w:val="9"/>
        </w:rPr>
        <w:t>目参与主体；四是做好资金计划及使用分析。</w:t>
      </w:r>
    </w:p>
    <w:p w14:paraId="23A87D4A">
      <w:pPr>
        <w:pStyle w:val="2"/>
        <w:spacing w:before="219" w:line="332" w:lineRule="auto"/>
        <w:ind w:left="5" w:right="81" w:firstLine="653"/>
      </w:pPr>
      <w:r>
        <w:rPr>
          <w:spacing w:val="10"/>
        </w:rPr>
        <w:t>2）影响项目收益的风险主要是资产租赁价格与出租率能否</w:t>
      </w:r>
      <w:r>
        <w:rPr>
          <w:spacing w:val="5"/>
        </w:rPr>
        <w:t>达预期效果。</w:t>
      </w:r>
    </w:p>
    <w:p w14:paraId="12CDA2E7">
      <w:pPr>
        <w:pStyle w:val="2"/>
        <w:spacing w:before="224" w:line="333" w:lineRule="auto"/>
        <w:ind w:left="2" w:firstLine="657"/>
        <w:jc w:val="both"/>
      </w:pPr>
      <w:r>
        <w:rPr>
          <w:spacing w:val="4"/>
        </w:rPr>
        <w:t>市场是由“需”与“供”形成的，同行或同类产品出现，并</w:t>
      </w:r>
      <w:r>
        <w:rPr>
          <w:spacing w:val="-3"/>
        </w:rPr>
        <w:t>非是市场需求本身的风险，应从竞争视角进行分析和防范。首先，</w:t>
      </w:r>
      <w:r>
        <w:rPr>
          <w:spacing w:val="8"/>
        </w:rPr>
        <w:t>当地政府和对应主管部门应进行正确的引导和协调，做好规划，</w:t>
      </w:r>
      <w:r>
        <w:rPr>
          <w:spacing w:val="5"/>
        </w:rPr>
        <w:t>避免大量重复建设和恶性竞争情况的发生，为本项目未来的良性运行奠定扎实的基础。同时，相关的运营管理人员应不断提升自</w:t>
      </w:r>
      <w:r>
        <w:rPr>
          <w:spacing w:val="9"/>
        </w:rPr>
        <w:t>身的运营效率和服务能力，努力降低成本、提升收益。</w:t>
      </w:r>
    </w:p>
    <w:p w14:paraId="713C8678">
      <w:pPr>
        <w:spacing w:before="241" w:line="228" w:lineRule="auto"/>
        <w:ind w:left="644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七、还款保障情况</w:t>
      </w:r>
    </w:p>
    <w:p w14:paraId="51B8FC1A">
      <w:pPr>
        <w:pStyle w:val="2"/>
        <w:spacing w:before="297" w:line="333" w:lineRule="auto"/>
        <w:ind w:left="5" w:right="81" w:firstLine="642"/>
        <w:jc w:val="both"/>
      </w:pPr>
      <w:r>
        <w:rPr>
          <w:spacing w:val="5"/>
        </w:rPr>
        <w:t>按照《国务院办公厅关于印发地方政府性债务风</w:t>
      </w:r>
      <w:r>
        <w:rPr>
          <w:spacing w:val="4"/>
        </w:rPr>
        <w:t>险应急处置</w:t>
      </w:r>
      <w:r>
        <w:rPr>
          <w:spacing w:val="1"/>
        </w:rPr>
        <w:t>预案的通知》（国办函〔2016〕88</w:t>
      </w:r>
      <w:r>
        <w:rPr>
          <w:spacing w:val="-39"/>
        </w:rPr>
        <w:t xml:space="preserve"> </w:t>
      </w:r>
      <w:r>
        <w:rPr>
          <w:spacing w:val="1"/>
        </w:rPr>
        <w:t>号）规定，本级政府对地方政</w:t>
      </w:r>
      <w:r>
        <w:rPr>
          <w:spacing w:val="5"/>
        </w:rPr>
        <w:t>府债券依法承担全部偿还责任。本级财政将按照《财政部关于印</w:t>
      </w:r>
      <w:r>
        <w:t>发&lt;地方政府专项债务预算管理办法&gt;的通知》（财预〔20</w:t>
      </w:r>
      <w:r>
        <w:rPr>
          <w:spacing w:val="-1"/>
        </w:rPr>
        <w:t>16〕155</w:t>
      </w:r>
      <w:r>
        <w:rPr>
          <w:spacing w:val="5"/>
        </w:rPr>
        <w:t>号）规定，及时按照转贷协议约定逐级向省财政缴纳本级应当承</w:t>
      </w:r>
    </w:p>
    <w:p w14:paraId="5236244C">
      <w:pPr>
        <w:spacing w:line="333" w:lineRule="auto"/>
        <w:sectPr>
          <w:footerReference r:id="rId14" w:type="default"/>
          <w:pgSz w:w="11906" w:h="16839"/>
          <w:pgMar w:top="1431" w:right="1336" w:bottom="1315" w:left="1651" w:header="0" w:footer="950" w:gutter="0"/>
          <w:cols w:space="720" w:num="1"/>
        </w:sectPr>
      </w:pPr>
    </w:p>
    <w:p w14:paraId="21A570BD">
      <w:pPr>
        <w:spacing w:line="245" w:lineRule="auto"/>
        <w:rPr>
          <w:rFonts w:ascii="Arial"/>
          <w:sz w:val="21"/>
        </w:rPr>
      </w:pPr>
    </w:p>
    <w:p w14:paraId="726CFA28">
      <w:pPr>
        <w:spacing w:line="246" w:lineRule="auto"/>
        <w:rPr>
          <w:rFonts w:ascii="Arial"/>
          <w:sz w:val="21"/>
        </w:rPr>
      </w:pPr>
    </w:p>
    <w:p w14:paraId="2BA1E6AE">
      <w:pPr>
        <w:spacing w:line="246" w:lineRule="auto"/>
        <w:rPr>
          <w:rFonts w:ascii="Arial"/>
          <w:sz w:val="21"/>
        </w:rPr>
      </w:pPr>
    </w:p>
    <w:p w14:paraId="4F58A3B0">
      <w:pPr>
        <w:pStyle w:val="2"/>
        <w:spacing w:before="101" w:line="335" w:lineRule="auto"/>
        <w:ind w:left="6" w:right="89" w:firstLine="3"/>
        <w:jc w:val="both"/>
      </w:pPr>
      <w:r>
        <w:rPr>
          <w:spacing w:val="5"/>
        </w:rPr>
        <w:t>担的还本付息资金，由省财政按照合同约定及时偿还专项债券到期本息。如偿债出现困难，将通过调减投资计划、处置可变现资产、调整预算支出结构等方式筹集资金偿还债务。未按时足额向</w:t>
      </w:r>
      <w:r>
        <w:rPr>
          <w:spacing w:val="22"/>
        </w:rPr>
        <w:t>省财政缴纳专项债券还本付息资金的,省财政采取适当方式扣</w:t>
      </w:r>
      <w:r>
        <w:rPr>
          <w:spacing w:val="-2"/>
        </w:rPr>
        <w:t>回。</w:t>
      </w:r>
    </w:p>
    <w:p w14:paraId="7CF788F1">
      <w:pPr>
        <w:spacing w:before="225" w:line="226" w:lineRule="auto"/>
        <w:ind w:left="646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八、主管部门和项目单位职责</w:t>
      </w:r>
    </w:p>
    <w:p w14:paraId="64A38979">
      <w:pPr>
        <w:pStyle w:val="2"/>
        <w:spacing w:before="302" w:line="333" w:lineRule="auto"/>
        <w:ind w:right="89" w:firstLine="646"/>
        <w:jc w:val="both"/>
      </w:pPr>
      <w:r>
        <w:rPr>
          <w:spacing w:val="5"/>
        </w:rPr>
        <w:t>本项目主管部门是内江市东兴区发展和改革局，其职</w:t>
      </w:r>
      <w:r>
        <w:rPr>
          <w:spacing w:val="4"/>
        </w:rPr>
        <w:t>责为对</w:t>
      </w:r>
      <w:r>
        <w:rPr>
          <w:spacing w:val="5"/>
        </w:rPr>
        <w:t>本部门（单位）专项债券项目审核把关。指导本行业项目规划与储备、梳理项目需求和编制项目实施方案。指导本行业及时规范</w:t>
      </w:r>
      <w:r>
        <w:rPr>
          <w:spacing w:val="9"/>
        </w:rPr>
        <w:t>使用债券资金，对建设运营情况进行监督。</w:t>
      </w:r>
    </w:p>
    <w:p w14:paraId="343A772E">
      <w:pPr>
        <w:pStyle w:val="2"/>
        <w:spacing w:line="334" w:lineRule="auto"/>
        <w:ind w:left="13" w:right="51" w:firstLine="633"/>
        <w:jc w:val="both"/>
      </w:pPr>
      <w:r>
        <w:rPr>
          <w:spacing w:val="5"/>
        </w:rPr>
        <w:t>本项目业主单位是四川东臻建筑工程有限公司，其职</w:t>
      </w:r>
      <w:r>
        <w:rPr>
          <w:spacing w:val="4"/>
        </w:rPr>
        <w:t>责为提</w:t>
      </w:r>
      <w:r>
        <w:rPr>
          <w:spacing w:val="6"/>
        </w:rPr>
        <w:t>出专项债券项目需求申请，编制报送项目实施方案及相关资料，</w:t>
      </w:r>
      <w:r>
        <w:rPr>
          <w:spacing w:val="5"/>
        </w:rPr>
        <w:t>配合做好债券发行准备。规范使用债券资金，及时形成支出，提高资金使用效益。定期评估项目成本、预期收益和对应资产价值等，发现风险或异常情况及时向主管部门报告。编制专项债券收支、偿还计划并纳入单位年度预算管理，将债券项目收入及时足</w:t>
      </w:r>
      <w:r>
        <w:rPr>
          <w:spacing w:val="4"/>
        </w:rPr>
        <w:t>额缴入国库。</w:t>
      </w:r>
    </w:p>
    <w:p w14:paraId="073A75BD">
      <w:pPr>
        <w:spacing w:before="235" w:line="226" w:lineRule="auto"/>
        <w:ind w:left="654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九、补充说明</w:t>
      </w:r>
    </w:p>
    <w:p w14:paraId="52088D84">
      <w:pPr>
        <w:pStyle w:val="2"/>
        <w:spacing w:before="302" w:line="333" w:lineRule="auto"/>
        <w:ind w:firstLine="656"/>
        <w:jc w:val="both"/>
      </w:pPr>
      <w:r>
        <w:rPr>
          <w:spacing w:val="4"/>
        </w:rPr>
        <w:t>东兴经开区（省级开发区）标准化厂房及周边配套设施项目</w:t>
      </w:r>
      <w:r>
        <w:rPr>
          <w:spacing w:val="3"/>
        </w:rPr>
        <w:t>债券资金总需求</w:t>
      </w:r>
      <w:r>
        <w:rPr>
          <w:spacing w:val="-46"/>
        </w:rPr>
        <w:t xml:space="preserve"> </w:t>
      </w:r>
      <w:r>
        <w:rPr>
          <w:spacing w:val="3"/>
        </w:rPr>
        <w:t>48000</w:t>
      </w:r>
      <w:r>
        <w:rPr>
          <w:spacing w:val="-47"/>
        </w:rPr>
        <w:t xml:space="preserve"> </w:t>
      </w:r>
      <w:r>
        <w:rPr>
          <w:spacing w:val="3"/>
        </w:rPr>
        <w:t>万元，根据地方政府债务限额管理要求和</w:t>
      </w:r>
      <w:r>
        <w:rPr>
          <w:spacing w:val="-5"/>
        </w:rPr>
        <w:t>项目实施进展情况，</w:t>
      </w:r>
      <w:r>
        <w:rPr>
          <w:rFonts w:hint="eastAsia"/>
          <w:spacing w:val="-5"/>
          <w:lang w:eastAsia="zh-CN"/>
        </w:rPr>
        <w:t>该项目</w:t>
      </w:r>
      <w:bookmarkStart w:id="0" w:name="_GoBack"/>
      <w:bookmarkEnd w:id="0"/>
      <w:r>
        <w:rPr>
          <w:rFonts w:hint="eastAsia"/>
          <w:spacing w:val="-5"/>
          <w:lang w:eastAsia="zh-CN"/>
        </w:rPr>
        <w:t>已累计发行</w:t>
      </w:r>
      <w:r>
        <w:rPr>
          <w:rFonts w:hint="eastAsia"/>
          <w:spacing w:val="-5"/>
          <w:lang w:val="en-US" w:eastAsia="zh-CN"/>
        </w:rPr>
        <w:t>13000万元，</w:t>
      </w:r>
      <w:r>
        <w:rPr>
          <w:spacing w:val="-5"/>
        </w:rPr>
        <w:t>本次拟继续发行</w:t>
      </w:r>
      <w:r>
        <w:rPr>
          <w:spacing w:val="-50"/>
        </w:rPr>
        <w:t xml:space="preserve"> </w:t>
      </w:r>
      <w:r>
        <w:rPr>
          <w:rFonts w:hint="eastAsia"/>
          <w:spacing w:val="-50"/>
          <w:lang w:val="en-US" w:eastAsia="zh-CN"/>
        </w:rPr>
        <w:t>13</w:t>
      </w:r>
      <w:r>
        <w:rPr>
          <w:spacing w:val="-5"/>
        </w:rPr>
        <w:t>00.00</w:t>
      </w:r>
      <w:r>
        <w:rPr>
          <w:spacing w:val="-42"/>
        </w:rPr>
        <w:t xml:space="preserve"> </w:t>
      </w:r>
      <w:r>
        <w:rPr>
          <w:spacing w:val="-5"/>
        </w:rPr>
        <w:t>万</w:t>
      </w:r>
      <w:r>
        <w:rPr>
          <w:spacing w:val="-6"/>
        </w:rPr>
        <w:t>元，期限</w:t>
      </w:r>
      <w:r>
        <w:rPr>
          <w:spacing w:val="-49"/>
        </w:rPr>
        <w:t xml:space="preserve"> </w:t>
      </w:r>
      <w:r>
        <w:rPr>
          <w:spacing w:val="-6"/>
        </w:rPr>
        <w:t>20</w:t>
      </w:r>
      <w:r>
        <w:rPr>
          <w:spacing w:val="-60"/>
        </w:rPr>
        <w:t xml:space="preserve"> </w:t>
      </w:r>
      <w:r>
        <w:rPr>
          <w:spacing w:val="-6"/>
        </w:rPr>
        <w:t>年。</w:t>
      </w:r>
      <w:r>
        <w:rPr>
          <w:spacing w:val="5"/>
        </w:rPr>
        <w:t>该项目实施内容及收益来源未发生变动，在不超过项目债券总需</w:t>
      </w:r>
    </w:p>
    <w:p w14:paraId="40CB55DE">
      <w:pPr>
        <w:spacing w:line="333" w:lineRule="auto"/>
        <w:sectPr>
          <w:footerReference r:id="rId15" w:type="default"/>
          <w:pgSz w:w="11906" w:h="16839"/>
          <w:pgMar w:top="1431" w:right="1328" w:bottom="1315" w:left="1650" w:header="0" w:footer="948" w:gutter="0"/>
          <w:cols w:space="720" w:num="1"/>
        </w:sectPr>
      </w:pPr>
    </w:p>
    <w:p w14:paraId="6CDD0D62">
      <w:pPr>
        <w:spacing w:line="246" w:lineRule="auto"/>
        <w:rPr>
          <w:rFonts w:ascii="Arial"/>
          <w:sz w:val="21"/>
        </w:rPr>
      </w:pPr>
    </w:p>
    <w:p w14:paraId="6482ACBE">
      <w:pPr>
        <w:spacing w:line="246" w:lineRule="auto"/>
        <w:rPr>
          <w:rFonts w:ascii="Arial"/>
          <w:sz w:val="21"/>
        </w:rPr>
      </w:pPr>
    </w:p>
    <w:p w14:paraId="297012CE">
      <w:pPr>
        <w:spacing w:line="246" w:lineRule="auto"/>
        <w:rPr>
          <w:rFonts w:ascii="Arial"/>
          <w:sz w:val="21"/>
        </w:rPr>
      </w:pPr>
    </w:p>
    <w:p w14:paraId="4751ED87">
      <w:pPr>
        <w:pStyle w:val="2"/>
        <w:spacing w:before="101" w:line="332" w:lineRule="auto"/>
        <w:ind w:left="13" w:firstLine="3"/>
      </w:pPr>
      <w:r>
        <w:rPr>
          <w:spacing w:val="5"/>
        </w:rPr>
        <w:t>求情况下，债券分批次跨年发行对项目整体融资平衡</w:t>
      </w:r>
      <w:r>
        <w:rPr>
          <w:spacing w:val="4"/>
        </w:rPr>
        <w:t>不构成实质</w:t>
      </w:r>
      <w:r>
        <w:rPr>
          <w:spacing w:val="-5"/>
        </w:rPr>
        <w:t>影响。</w:t>
      </w:r>
    </w:p>
    <w:sectPr>
      <w:footerReference r:id="rId16" w:type="default"/>
      <w:pgSz w:w="11906" w:h="16839"/>
      <w:pgMar w:top="1431" w:right="1419" w:bottom="1315" w:left="1652" w:header="0" w:footer="94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aiTi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D6E35">
    <w:pPr>
      <w:spacing w:line="235" w:lineRule="auto"/>
      <w:ind w:left="8144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4"/>
        <w:sz w:val="28"/>
        <w:szCs w:val="28"/>
      </w:rPr>
      <w:t>-</w:t>
    </w:r>
    <w:r>
      <w:rPr>
        <w:rFonts w:ascii="宋体" w:hAnsi="宋体" w:eastAsia="宋体" w:cs="宋体"/>
        <w:spacing w:val="33"/>
        <w:sz w:val="28"/>
        <w:szCs w:val="28"/>
      </w:rPr>
      <w:t xml:space="preserve"> </w:t>
    </w:r>
    <w:r>
      <w:rPr>
        <w:rFonts w:ascii="宋体" w:hAnsi="宋体" w:eastAsia="宋体" w:cs="宋体"/>
        <w:spacing w:val="-14"/>
        <w:sz w:val="28"/>
        <w:szCs w:val="28"/>
      </w:rPr>
      <w:t>1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4"/>
        <w:sz w:val="28"/>
        <w:szCs w:val="28"/>
      </w:rPr>
      <w:t>-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71838">
    <w:pPr>
      <w:spacing w:line="233" w:lineRule="auto"/>
      <w:ind w:left="1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1"/>
        <w:sz w:val="28"/>
        <w:szCs w:val="28"/>
      </w:rPr>
      <w:t>-</w:t>
    </w:r>
    <w:r>
      <w:rPr>
        <w:rFonts w:ascii="宋体" w:hAnsi="宋体" w:eastAsia="宋体" w:cs="宋体"/>
        <w:spacing w:val="34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10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-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06C12">
    <w:pPr>
      <w:spacing w:line="235" w:lineRule="auto"/>
      <w:ind w:left="800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1"/>
        <w:sz w:val="28"/>
        <w:szCs w:val="28"/>
      </w:rPr>
      <w:t>-</w:t>
    </w:r>
    <w:r>
      <w:rPr>
        <w:rFonts w:ascii="宋体" w:hAnsi="宋体" w:eastAsia="宋体" w:cs="宋体"/>
        <w:spacing w:val="34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11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-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D05E1">
    <w:pPr>
      <w:spacing w:line="235" w:lineRule="auto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1"/>
        <w:sz w:val="28"/>
        <w:szCs w:val="28"/>
      </w:rPr>
      <w:t>-</w:t>
    </w:r>
    <w:r>
      <w:rPr>
        <w:rFonts w:ascii="宋体" w:hAnsi="宋体" w:eastAsia="宋体" w:cs="宋体"/>
        <w:spacing w:val="34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12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1"/>
        <w:sz w:val="28"/>
        <w:szCs w:val="2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92DC4">
    <w:pPr>
      <w:spacing w:line="235" w:lineRule="auto"/>
      <w:ind w:left="3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-</w:t>
    </w:r>
    <w:r>
      <w:rPr>
        <w:rFonts w:ascii="宋体" w:hAnsi="宋体" w:eastAsia="宋体" w:cs="宋体"/>
        <w:spacing w:val="15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2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1B285">
    <w:pPr>
      <w:spacing w:line="233" w:lineRule="auto"/>
      <w:ind w:left="8142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-</w:t>
    </w:r>
    <w:r>
      <w:rPr>
        <w:rFonts w:ascii="宋体" w:hAnsi="宋体" w:eastAsia="宋体" w:cs="宋体"/>
        <w:spacing w:val="18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3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B4DF1">
    <w:pPr>
      <w:spacing w:line="235" w:lineRule="auto"/>
      <w:ind w:left="121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-</w:t>
    </w:r>
    <w:r>
      <w:rPr>
        <w:rFonts w:ascii="宋体" w:hAnsi="宋体" w:eastAsia="宋体" w:cs="宋体"/>
        <w:spacing w:val="10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4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30549">
    <w:pPr>
      <w:spacing w:line="233" w:lineRule="auto"/>
      <w:ind w:left="8264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-</w:t>
    </w:r>
    <w:r>
      <w:rPr>
        <w:rFonts w:ascii="宋体" w:hAnsi="宋体" w:eastAsia="宋体" w:cs="宋体"/>
        <w:spacing w:val="18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5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F5E591">
    <w:pPr>
      <w:spacing w:line="233" w:lineRule="auto"/>
      <w:ind w:left="121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-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6</w:t>
    </w:r>
    <w:r>
      <w:rPr>
        <w:rFonts w:ascii="宋体" w:hAnsi="宋体" w:eastAsia="宋体" w:cs="宋体"/>
        <w:spacing w:val="6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-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03F07">
    <w:pPr>
      <w:spacing w:line="233" w:lineRule="auto"/>
      <w:ind w:left="1481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-</w:t>
    </w:r>
    <w:r>
      <w:rPr>
        <w:rFonts w:ascii="宋体" w:hAnsi="宋体" w:eastAsia="宋体" w:cs="宋体"/>
        <w:spacing w:val="18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7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-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3CFF9">
    <w:pPr>
      <w:spacing w:line="233" w:lineRule="auto"/>
      <w:ind w:left="121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-</w:t>
    </w:r>
    <w:r>
      <w:rPr>
        <w:rFonts w:ascii="宋体" w:hAnsi="宋体" w:eastAsia="宋体" w:cs="宋体"/>
        <w:spacing w:val="12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8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-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308DF">
    <w:pPr>
      <w:spacing w:line="233" w:lineRule="auto"/>
      <w:ind w:left="8145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-</w:t>
    </w:r>
    <w:r>
      <w:rPr>
        <w:rFonts w:ascii="宋体" w:hAnsi="宋体" w:eastAsia="宋体" w:cs="宋体"/>
        <w:spacing w:val="12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9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0DF6908"/>
    <w:rsid w:val="7EFF3B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theme" Target="theme/theme1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3983</Words>
  <Characters>5622</Characters>
  <TotalTime>0</TotalTime>
  <ScaleCrop>false</ScaleCrop>
  <LinksUpToDate>false</LinksUpToDate>
  <CharactersWithSpaces>5782</CharactersWithSpaces>
  <Application>WPS Office_12.1.2.22550_F1E327BC-269C-435d-A152-05C5408002CA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2025-05-17T05:59:00Z</dcterms:created>
  <dc:creator>曾智强</dc:creator>
  <cp:lastModifiedBy>user</cp:lastModifiedBy>
  <dcterms:modified xsi:type="dcterms:W3CDTF">2026-08-13T16:37:55Z</dcterms:modified>
  <dc:title>内江市市中区乐贤工业集中区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2026-08-13T11:19:42Z</vt:filetime>
  </property>
  <property fmtid="{D5CDD505-2E9C-101B-9397-08002B2CF9AE}" pid="4" name="KSOTemplateDocerSaveRecord">
    <vt:lpwstr>eyJoZGlkIjoiYjgyZTM2MzkzMjYwOTM4NjE5NjVhYWRkM2UwNmFmOWMiLCJ1c2VySWQiOiIyNzMyMjY3MjcifQ==</vt:lpwstr>
  </property>
  <property fmtid="{D5CDD505-2E9C-101B-9397-08002B2CF9AE}" pid="5" name="KSOProductBuildVer">
    <vt:lpwstr>2052-12.1.2.22550</vt:lpwstr>
  </property>
  <property fmtid="{D5CDD505-2E9C-101B-9397-08002B2CF9AE}" pid="6" name="ICV">
    <vt:lpwstr>D86EB4478CAE4C8E8E4CE221562DC2E1_12</vt:lpwstr>
  </property>
</Properties>
</file>